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A42467" w14:textId="77777777" w:rsidR="00D444BE" w:rsidRDefault="00D444BE" w:rsidP="00D444BE">
      <w:pPr>
        <w:spacing w:line="276" w:lineRule="auto"/>
      </w:pPr>
      <w:r w:rsidRPr="00CA5FA2">
        <w:t xml:space="preserve">UNIVERSIDAD </w:t>
      </w:r>
      <w:r>
        <w:t>PRIVADA INTERNACIONAL</w:t>
      </w:r>
      <w:r w:rsidRPr="00CA5FA2">
        <w:t xml:space="preserve"> </w:t>
      </w:r>
    </w:p>
    <w:p w14:paraId="75155430" w14:textId="77777777" w:rsidR="00D444BE" w:rsidRPr="00CA5FA2" w:rsidRDefault="00D444BE" w:rsidP="00D444BE">
      <w:pPr>
        <w:spacing w:line="276" w:lineRule="auto"/>
        <w:rPr>
          <w:sz w:val="44"/>
        </w:rPr>
      </w:pPr>
      <w:r w:rsidRPr="00CA5FA2">
        <w:rPr>
          <w:sz w:val="28"/>
          <w:szCs w:val="32"/>
        </w:rPr>
        <w:t>FACULTAD DE CIENCIAS POLÍTICAS</w:t>
      </w:r>
    </w:p>
    <w:p w14:paraId="4E4BAE4C" w14:textId="77777777" w:rsidR="00D444BE" w:rsidRDefault="00D444BE" w:rsidP="00D444BE">
      <w:pPr>
        <w:spacing w:line="276" w:lineRule="auto"/>
        <w:rPr>
          <w:sz w:val="28"/>
          <w:szCs w:val="32"/>
        </w:rPr>
      </w:pPr>
      <w:r w:rsidRPr="00CA5FA2">
        <w:rPr>
          <w:sz w:val="28"/>
          <w:szCs w:val="32"/>
        </w:rPr>
        <w:t>CARRERA DE CIENCIA POLÍTICA Y GESTIÓN PÚBLICA</w:t>
      </w:r>
    </w:p>
    <w:p w14:paraId="486A7300" w14:textId="77777777" w:rsidR="00D444BE" w:rsidRDefault="00D444BE" w:rsidP="00D444BE">
      <w:pPr>
        <w:rPr>
          <w:sz w:val="28"/>
          <w:szCs w:val="32"/>
        </w:rPr>
      </w:pPr>
    </w:p>
    <w:p w14:paraId="36CA953A" w14:textId="77777777" w:rsidR="00D444BE" w:rsidRDefault="00D444BE" w:rsidP="00D444BE">
      <w:pPr>
        <w:rPr>
          <w:sz w:val="28"/>
          <w:szCs w:val="32"/>
        </w:rPr>
      </w:pPr>
      <w:r>
        <w:rPr>
          <w:sz w:val="28"/>
          <w:szCs w:val="32"/>
        </w:rPr>
        <w:t>Materia: ECONOMÍA MUNDIAL</w:t>
      </w:r>
    </w:p>
    <w:p w14:paraId="14CB9DD3" w14:textId="77777777" w:rsidR="00D444BE" w:rsidRPr="00CA5FA2" w:rsidRDefault="00D444BE" w:rsidP="00D444BE">
      <w:pPr>
        <w:rPr>
          <w:sz w:val="28"/>
          <w:szCs w:val="32"/>
        </w:rPr>
      </w:pPr>
      <w:r>
        <w:rPr>
          <w:sz w:val="28"/>
          <w:szCs w:val="32"/>
        </w:rPr>
        <w:t>Docente: Lic. Samuel Durán</w:t>
      </w:r>
    </w:p>
    <w:p w14:paraId="627273A1" w14:textId="77777777" w:rsidR="00D444BE" w:rsidRDefault="00D444BE" w:rsidP="00D444BE">
      <w:pPr>
        <w:rPr>
          <w:sz w:val="32"/>
          <w:szCs w:val="32"/>
        </w:rPr>
      </w:pPr>
    </w:p>
    <w:p w14:paraId="5BCAC85F" w14:textId="77777777" w:rsidR="00D444BE" w:rsidRDefault="00D444BE" w:rsidP="00D444BE">
      <w:pPr>
        <w:rPr>
          <w:sz w:val="32"/>
          <w:szCs w:val="32"/>
        </w:rPr>
      </w:pPr>
    </w:p>
    <w:p w14:paraId="0D75B909" w14:textId="77777777" w:rsidR="00D444BE" w:rsidRPr="00CA5FA2" w:rsidRDefault="00D444BE" w:rsidP="00D444BE">
      <w:pPr>
        <w:rPr>
          <w:sz w:val="32"/>
          <w:szCs w:val="32"/>
        </w:rPr>
      </w:pPr>
    </w:p>
    <w:p w14:paraId="78483D8C" w14:textId="77777777" w:rsidR="00D444BE" w:rsidRPr="00CA5FA2" w:rsidRDefault="00D444BE" w:rsidP="00D444BE">
      <w:pPr>
        <w:rPr>
          <w:sz w:val="32"/>
          <w:szCs w:val="32"/>
        </w:rPr>
      </w:pPr>
      <w:bookmarkStart w:id="0" w:name="_Hlk156594027"/>
      <w:r w:rsidRPr="00CA5FA2">
        <w:rPr>
          <w:sz w:val="32"/>
          <w:szCs w:val="32"/>
        </w:rPr>
        <w:t>MONOGRAFÍA</w:t>
      </w:r>
    </w:p>
    <w:p w14:paraId="066E154E" w14:textId="77777777" w:rsidR="00D444BE" w:rsidRDefault="00D444BE" w:rsidP="00D444BE">
      <w:pPr>
        <w:rPr>
          <w:sz w:val="36"/>
          <w:lang w:eastAsia="es-BO"/>
        </w:rPr>
      </w:pPr>
      <w:r w:rsidRPr="007A04B5">
        <w:rPr>
          <w:sz w:val="36"/>
          <w:lang w:eastAsia="es-BO"/>
        </w:rPr>
        <w:t>EL AUGE DE CHINA Y EL ORDEN ECONÓMICO Y POLÍTICO INTERNACIONAL</w:t>
      </w:r>
    </w:p>
    <w:p w14:paraId="4834051C" w14:textId="77777777" w:rsidR="00D444BE" w:rsidRDefault="00D444BE" w:rsidP="00D444BE">
      <w:pPr>
        <w:rPr>
          <w:sz w:val="36"/>
          <w:szCs w:val="36"/>
        </w:rPr>
      </w:pPr>
    </w:p>
    <w:p w14:paraId="0EB4F0B8" w14:textId="77777777" w:rsidR="00D444BE" w:rsidRPr="00CA5FA2" w:rsidRDefault="00D444BE" w:rsidP="00D444BE">
      <w:pPr>
        <w:rPr>
          <w:sz w:val="36"/>
          <w:szCs w:val="36"/>
        </w:rPr>
      </w:pPr>
    </w:p>
    <w:bookmarkEnd w:id="0"/>
    <w:p w14:paraId="4E838BC0" w14:textId="77777777" w:rsidR="00D444BE" w:rsidRDefault="00D444BE" w:rsidP="00D444BE">
      <w:pPr>
        <w:rPr>
          <w:sz w:val="24"/>
          <w:szCs w:val="24"/>
        </w:rPr>
      </w:pPr>
      <w:r w:rsidRPr="00CA5FA2">
        <w:rPr>
          <w:sz w:val="24"/>
          <w:szCs w:val="24"/>
        </w:rPr>
        <w:t xml:space="preserve">Univ. </w:t>
      </w:r>
      <w:r>
        <w:rPr>
          <w:sz w:val="24"/>
          <w:szCs w:val="24"/>
        </w:rPr>
        <w:t xml:space="preserve">Juan </w:t>
      </w:r>
      <w:proofErr w:type="spellStart"/>
      <w:r>
        <w:rPr>
          <w:sz w:val="24"/>
          <w:szCs w:val="24"/>
        </w:rPr>
        <w:t>Perez</w:t>
      </w:r>
      <w:proofErr w:type="spellEnd"/>
    </w:p>
    <w:p w14:paraId="2795147A" w14:textId="77777777" w:rsidR="00D444BE" w:rsidRDefault="00D444BE" w:rsidP="00D444BE">
      <w:pPr>
        <w:rPr>
          <w:sz w:val="24"/>
          <w:szCs w:val="24"/>
        </w:rPr>
      </w:pPr>
    </w:p>
    <w:p w14:paraId="1D3F49FD" w14:textId="77777777" w:rsidR="00D444BE" w:rsidRDefault="00D444BE" w:rsidP="00D444BE">
      <w:pPr>
        <w:rPr>
          <w:sz w:val="24"/>
          <w:szCs w:val="24"/>
        </w:rPr>
      </w:pPr>
    </w:p>
    <w:p w14:paraId="20063532" w14:textId="77777777" w:rsidR="00D444BE" w:rsidRPr="00464A11" w:rsidRDefault="00D444BE" w:rsidP="00D444BE">
      <w:pPr>
        <w:rPr>
          <w:sz w:val="20"/>
          <w:szCs w:val="20"/>
        </w:rPr>
      </w:pPr>
      <w:r w:rsidRPr="00464A11">
        <w:rPr>
          <w:sz w:val="20"/>
          <w:szCs w:val="20"/>
        </w:rPr>
        <w:t>La Paz, septiembre de 2026</w:t>
      </w:r>
    </w:p>
    <w:p w14:paraId="2933812D" w14:textId="77777777" w:rsidR="00D444BE" w:rsidRDefault="00D444BE" w:rsidP="00D444BE">
      <w:pPr>
        <w:rPr>
          <w:sz w:val="18"/>
          <w:szCs w:val="18"/>
        </w:rPr>
      </w:pPr>
      <w:r>
        <w:rPr>
          <w:sz w:val="18"/>
          <w:szCs w:val="18"/>
        </w:rPr>
        <w:br w:type="page"/>
      </w:r>
    </w:p>
    <w:p w14:paraId="37EF7629" w14:textId="77777777" w:rsidR="00D444BE" w:rsidRPr="00205686" w:rsidRDefault="00D444BE" w:rsidP="00D444BE">
      <w:pPr>
        <w:rPr>
          <w:rFonts w:ascii="Arial" w:hAnsi="Arial" w:cs="Arial"/>
          <w:sz w:val="24"/>
          <w:szCs w:val="24"/>
          <w:lang w:eastAsia="es-BO"/>
        </w:rPr>
      </w:pPr>
      <w:r w:rsidRPr="00205686">
        <w:rPr>
          <w:rFonts w:ascii="Arial" w:hAnsi="Arial" w:cs="Arial"/>
          <w:sz w:val="24"/>
          <w:szCs w:val="24"/>
          <w:lang w:eastAsia="es-BO"/>
        </w:rPr>
        <w:lastRenderedPageBreak/>
        <w:t>EL AUGE DE CHINA Y EL ORDEN ECONÓMICO Y POLÍTICO INTERNACIONAL</w:t>
      </w:r>
    </w:p>
    <w:p w14:paraId="7894E26D" w14:textId="77777777" w:rsidR="00D444BE" w:rsidRPr="00373785" w:rsidRDefault="00D444BE" w:rsidP="00D444BE">
      <w:pPr>
        <w:rPr>
          <w:rFonts w:ascii="Arial" w:hAnsi="Arial" w:cs="Arial"/>
          <w:sz w:val="24"/>
          <w:szCs w:val="24"/>
        </w:rPr>
      </w:pPr>
      <w:bookmarkStart w:id="1" w:name="_Toc241517505"/>
      <w:r w:rsidRPr="00373785">
        <w:rPr>
          <w:rFonts w:ascii="Arial" w:hAnsi="Arial" w:cs="Arial"/>
          <w:sz w:val="24"/>
          <w:szCs w:val="24"/>
        </w:rPr>
        <w:t>Resumen</w:t>
      </w:r>
      <w:bookmarkEnd w:id="1"/>
    </w:p>
    <w:p w14:paraId="02BF6025" w14:textId="77777777" w:rsidR="00D444BE" w:rsidRPr="00205686" w:rsidRDefault="00D444BE" w:rsidP="00D444BE">
      <w:pPr>
        <w:rPr>
          <w:rFonts w:ascii="Arial" w:hAnsi="Arial" w:cs="Arial"/>
        </w:rPr>
      </w:pPr>
      <w:r w:rsidRPr="00205686">
        <w:rPr>
          <w:rFonts w:ascii="Arial" w:hAnsi="Arial" w:cs="Arial"/>
        </w:rPr>
        <w:t>La presente investigación analiza el fenómeno del ascenso de la República Popular China en el sistema internacional contemporáneo, centrándose específicamente en la proyección de su poder financiero a través de la internacionalización de su moneda, el Renminbi (RMB) o yuan. Desde la perspectiva de la Economía Política Internacional, el trabajo examina cómo Pekín transita desde su rol tradicional como "fábrica del mundo" hacia la disputa por la hegemonía monetaria global, buscando reducir su vulnerabilidad estructural frente al dólar estadounidense y las sanciones unilaterales. Asimismo, se evalúan las estrategias estatales implementadas —tales como la facturación comercial en yuanes, los acuerdos de intercambio de divisas (</w:t>
      </w:r>
      <w:r w:rsidRPr="00205686">
        <w:rPr>
          <w:rFonts w:ascii="Arial" w:hAnsi="Arial" w:cs="Arial"/>
          <w:i/>
          <w:iCs/>
        </w:rPr>
        <w:t>swaps</w:t>
      </w:r>
      <w:r w:rsidRPr="00205686">
        <w:rPr>
          <w:rFonts w:ascii="Arial" w:hAnsi="Arial" w:cs="Arial"/>
        </w:rPr>
        <w:t xml:space="preserve">) y el desarrollo de sistemas de pago alternativos como el CIPS—, así como la creación de arquitecturas financieras paralelas (el Nuevo Banco de Desarrollo de los BRICS y el BAII). Finalmente, se identifican los límites estructurales de este proceso, destacando los férreos controles de capital chinos y el dilema de </w:t>
      </w:r>
      <w:proofErr w:type="spellStart"/>
      <w:r w:rsidRPr="00205686">
        <w:rPr>
          <w:rFonts w:ascii="Arial" w:hAnsi="Arial" w:cs="Arial"/>
        </w:rPr>
        <w:t>Triffin</w:t>
      </w:r>
      <w:proofErr w:type="spellEnd"/>
      <w:r w:rsidRPr="00205686">
        <w:rPr>
          <w:rFonts w:ascii="Arial" w:hAnsi="Arial" w:cs="Arial"/>
        </w:rPr>
        <w:t>.</w:t>
      </w:r>
    </w:p>
    <w:p w14:paraId="02D81854" w14:textId="77777777" w:rsidR="00D444BE" w:rsidRPr="00205686" w:rsidRDefault="00D444BE" w:rsidP="00D444BE">
      <w:pPr>
        <w:rPr>
          <w:rFonts w:ascii="Arial" w:hAnsi="Arial" w:cs="Arial"/>
        </w:rPr>
      </w:pPr>
      <w:r w:rsidRPr="00205686">
        <w:rPr>
          <w:rFonts w:ascii="Arial" w:hAnsi="Arial" w:cs="Arial"/>
        </w:rPr>
        <w:t>Palabras clave: Auge de China, Renminbi, Hegemonía monetaria, Economía Política Internacional, Multipolaridad, Desdolarización.</w:t>
      </w:r>
    </w:p>
    <w:p w14:paraId="3729FA6D" w14:textId="77777777" w:rsidR="00D444BE" w:rsidRPr="00373785" w:rsidRDefault="00D444BE" w:rsidP="00D444BE">
      <w:pPr>
        <w:rPr>
          <w:rFonts w:ascii="Arial" w:hAnsi="Arial" w:cs="Arial"/>
          <w:sz w:val="24"/>
          <w:szCs w:val="24"/>
          <w:lang w:val="en-US"/>
        </w:rPr>
      </w:pPr>
      <w:bookmarkStart w:id="2" w:name="_Toc241517506"/>
      <w:r w:rsidRPr="00373785">
        <w:rPr>
          <w:rFonts w:ascii="Arial" w:hAnsi="Arial" w:cs="Arial"/>
          <w:sz w:val="24"/>
          <w:szCs w:val="24"/>
          <w:lang w:val="en-US"/>
        </w:rPr>
        <w:t>Abstract</w:t>
      </w:r>
      <w:bookmarkEnd w:id="2"/>
    </w:p>
    <w:p w14:paraId="60790301" w14:textId="77777777" w:rsidR="00D444BE" w:rsidRPr="00205686" w:rsidRDefault="00D444BE" w:rsidP="00D444BE">
      <w:pPr>
        <w:rPr>
          <w:rFonts w:ascii="Arial" w:hAnsi="Arial" w:cs="Arial"/>
          <w:lang w:val="en-US"/>
        </w:rPr>
      </w:pPr>
      <w:r w:rsidRPr="00205686">
        <w:rPr>
          <w:rFonts w:ascii="Arial" w:hAnsi="Arial" w:cs="Arial"/>
          <w:lang w:val="en-US"/>
        </w:rPr>
        <w:t>This research analyzes the rise of the People's Republic of China in the contemporary international system, focusing specifically on the projection of its financial power through the internationalization of its currency, the Renminbi (RMB) or yuan. From the perspective of International Political Economy, the paper examines how Beijing transitions from its traditional role as the "workshop of the world" to competing for global monetary hegemony, seeking to reduce its structural vulnerability to the US dollar and unilateral sanctions. Likewise, it evaluates the state strategies implemented—such as trade invoicing in yuan, currency swap agreements, and the development of alternative payment systems like CIPS—alongside the creation of parallel financial architectures (the BRICS New Development Bank and the AIIB). Finally, it identifies the structural limits of this process, highlighting China's strict capital controls and the Triffin dilemma.</w:t>
      </w:r>
    </w:p>
    <w:p w14:paraId="1D7526A4" w14:textId="77777777" w:rsidR="00D444BE" w:rsidRDefault="00D444BE" w:rsidP="00D444BE">
      <w:pPr>
        <w:rPr>
          <w:rFonts w:ascii="Arial" w:hAnsi="Arial" w:cs="Arial"/>
          <w:lang w:val="en-US"/>
        </w:rPr>
      </w:pPr>
      <w:r w:rsidRPr="00205686">
        <w:rPr>
          <w:rFonts w:ascii="Arial" w:hAnsi="Arial" w:cs="Arial"/>
          <w:lang w:val="en-US"/>
        </w:rPr>
        <w:t xml:space="preserve">Keywords: Rise of China, Renminbi, Monetary Hegemony, International Political Economy, Multipolarity, </w:t>
      </w:r>
      <w:proofErr w:type="spellStart"/>
      <w:r w:rsidRPr="00205686">
        <w:rPr>
          <w:rFonts w:ascii="Arial" w:hAnsi="Arial" w:cs="Arial"/>
          <w:lang w:val="en-US"/>
        </w:rPr>
        <w:t>Dedollarization</w:t>
      </w:r>
      <w:proofErr w:type="spellEnd"/>
      <w:r w:rsidRPr="00205686">
        <w:rPr>
          <w:rFonts w:ascii="Arial" w:hAnsi="Arial" w:cs="Arial"/>
          <w:lang w:val="en-US"/>
        </w:rPr>
        <w:t>.</w:t>
      </w:r>
    </w:p>
    <w:p w14:paraId="32581CEC" w14:textId="77777777" w:rsidR="00D444BE" w:rsidRPr="007016C0" w:rsidRDefault="00D444BE" w:rsidP="00D444BE">
      <w:pPr>
        <w:rPr>
          <w:rFonts w:ascii="Arial" w:eastAsia="Times New Roman" w:hAnsi="Arial" w:cs="Arial"/>
          <w:sz w:val="24"/>
          <w:szCs w:val="24"/>
          <w:lang w:val="en-US" w:eastAsia="es-BO"/>
        </w:rPr>
      </w:pPr>
      <w:r>
        <w:rPr>
          <w:rFonts w:ascii="Arial" w:hAnsi="Arial" w:cs="Arial"/>
          <w:lang w:val="en-US"/>
        </w:rPr>
        <w:br w:type="page"/>
      </w:r>
    </w:p>
    <w:p w14:paraId="795A5E2D" w14:textId="77777777" w:rsidR="00D444BE" w:rsidRPr="00205686" w:rsidRDefault="00D444BE" w:rsidP="00D444BE">
      <w:bookmarkStart w:id="3" w:name="_Toc241517507"/>
      <w:r w:rsidRPr="00205686">
        <w:lastRenderedPageBreak/>
        <w:t>Introducción</w:t>
      </w:r>
      <w:bookmarkEnd w:id="3"/>
    </w:p>
    <w:p w14:paraId="1ADBD963"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El sistema internacional contemporáneo atraviesa una fase de transición estructural desde un orden unipolar dominado por Estados Unidos hacia un escenario de multipolaridad y competencia </w:t>
      </w:r>
      <w:proofErr w:type="spellStart"/>
      <w:r w:rsidRPr="00205686">
        <w:rPr>
          <w:rFonts w:ascii="Arial" w:eastAsia="Times New Roman" w:hAnsi="Arial" w:cs="Arial"/>
          <w:sz w:val="24"/>
          <w:szCs w:val="24"/>
          <w:lang w:eastAsia="es-BO"/>
        </w:rPr>
        <w:t>interimperialista</w:t>
      </w:r>
      <w:proofErr w:type="spellEnd"/>
      <w:r w:rsidRPr="00205686">
        <w:rPr>
          <w:rFonts w:ascii="Arial" w:eastAsia="Times New Roman" w:hAnsi="Arial" w:cs="Arial"/>
          <w:sz w:val="24"/>
          <w:szCs w:val="24"/>
          <w:lang w:eastAsia="es-BO"/>
        </w:rPr>
        <w:t>. En el centro de esta reconfiguración geopolítica se encuentra el vertiginoso ascenso de la República Popular China como superpotencia global. Tradicionalmente analizado desde su dimensión comercial y manufacturera, el auge chino ha entrado en una fase cualitativamente superior: la proyección de su poder monetario y financiero a través de la internacionalización de su moneda, el RENMINBI (RMB) o yuan.</w:t>
      </w:r>
    </w:p>
    <w:p w14:paraId="7F2F7A4F" w14:textId="77777777" w:rsidR="00D444BE" w:rsidRPr="00205686" w:rsidRDefault="00D444BE" w:rsidP="00D444BE">
      <w:pPr>
        <w:rPr>
          <w:rFonts w:ascii="Arial" w:eastAsia="Times New Roman" w:hAnsi="Arial" w:cs="Arial"/>
          <w:sz w:val="24"/>
          <w:szCs w:val="24"/>
          <w:lang w:eastAsia="es-BO"/>
        </w:rPr>
      </w:pPr>
      <w:r w:rsidRPr="00205686">
        <w:rPr>
          <w:rFonts w:ascii="Arial" w:hAnsi="Arial" w:cs="Arial"/>
          <w:sz w:val="24"/>
          <w:szCs w:val="24"/>
        </w:rPr>
        <w:t xml:space="preserve">Los </w:t>
      </w:r>
      <w:r w:rsidRPr="00205686">
        <w:rPr>
          <w:rFonts w:ascii="Arial" w:eastAsia="Times New Roman" w:hAnsi="Arial" w:cs="Arial"/>
          <w:sz w:val="24"/>
          <w:szCs w:val="24"/>
          <w:lang w:eastAsia="es-BO"/>
        </w:rPr>
        <w:t>problemas</w:t>
      </w:r>
      <w:r w:rsidRPr="00205686">
        <w:rPr>
          <w:rFonts w:ascii="Arial" w:hAnsi="Arial" w:cs="Arial"/>
          <w:sz w:val="24"/>
          <w:szCs w:val="24"/>
        </w:rPr>
        <w:t xml:space="preserve"> engendrados por las arbitrarias políticas </w:t>
      </w:r>
      <w:proofErr w:type="spellStart"/>
      <w:r w:rsidRPr="00205686">
        <w:rPr>
          <w:rFonts w:ascii="Arial" w:hAnsi="Arial" w:cs="Arial"/>
          <w:sz w:val="24"/>
          <w:szCs w:val="24"/>
        </w:rPr>
        <w:t>anti-chinas</w:t>
      </w:r>
      <w:proofErr w:type="spellEnd"/>
      <w:r w:rsidRPr="00205686">
        <w:rPr>
          <w:rFonts w:ascii="Arial" w:hAnsi="Arial" w:cs="Arial"/>
          <w:sz w:val="24"/>
          <w:szCs w:val="24"/>
        </w:rPr>
        <w:t xml:space="preserve"> del presidente norteamericano Donald Trump tienen efectos nocivos frente a uno de los éxitos más importantes de Beijing desde tiempos de Deng Xiaoping: la por ahora inconclusa internacionalización del renminbi. Para alcanzar una cabal internacionalización de la moneda china, resulta indispensable que impere la confianza necesaria para consolidar una zona del renminbi centrada en la RPC, que sea comparable con la zona del dólar y con la eurozona. La expectativa no es irrazonable si se considera que, en términos de PBI y de comercio exterior, la China es perfectamente comparable con Estados Unidos y la Europa del euro. Se dio un paso importante cuando, el 1° de octubre de 2016, el renminbi fue incorporado formalmente a la canasta de Derechos Especiales de Giro (DEG) del FMI, que así se acopló al dólar, el euro, la libra esterlina y el yen japonés, como una de las monedas de reserva del mundo.</w:t>
      </w:r>
    </w:p>
    <w:p w14:paraId="5B74369D"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Esta monografía analiza cómo el Estado chino utiliza la internacionalización de su divisa como un instrumento de poder blando y duro para desafiar la hegemonía del dólar estadounidense, reestructurar los organismos financieros internacionales y consolidar su influencia en el Sur Global.</w:t>
      </w:r>
    </w:p>
    <w:p w14:paraId="14600013" w14:textId="77777777" w:rsidR="00D444BE" w:rsidRPr="00205686" w:rsidRDefault="00D444BE" w:rsidP="00D444BE">
      <w:pPr>
        <w:rPr>
          <w:rFonts w:ascii="Arial" w:hAnsi="Arial" w:cs="Arial"/>
        </w:rPr>
      </w:pPr>
      <w:r w:rsidRPr="00205686">
        <w:rPr>
          <w:rFonts w:ascii="Arial" w:hAnsi="Arial" w:cs="Arial"/>
        </w:rPr>
        <w:t>El sistema internacional contemporáneo transita por una fase de reconfiguración estructural caracterizada por el declive relativo de la hegemonía unipolar de Estados Unidos y el surgimiento de un orden multipolar. En el centro de esta dinámica se encuentra el vertiginoso ascenso económico, político y tecnológico de la República Popular China.</w:t>
      </w:r>
    </w:p>
    <w:p w14:paraId="41EFA6FA" w14:textId="77777777" w:rsidR="00D444BE" w:rsidRPr="00205686" w:rsidRDefault="00D444BE" w:rsidP="00D444BE">
      <w:pPr>
        <w:rPr>
          <w:rFonts w:ascii="Arial" w:hAnsi="Arial" w:cs="Arial"/>
        </w:rPr>
      </w:pPr>
      <w:r w:rsidRPr="00205686">
        <w:rPr>
          <w:rFonts w:ascii="Arial" w:hAnsi="Arial" w:cs="Arial"/>
        </w:rPr>
        <w:t xml:space="preserve">Dentro de la disciplina de las Relaciones Internacionales y los Organismos Internacionales, el análisis del poder ya no se limita al despliegue militar o al intercambio comercial clásico. Hoy en día, la competencia interestatal se disputa en el terreno monetario y financiero. Como señala la Economía Política Internacional (EPI), la emisión de una moneda de reserva global constituye el pináculo del poder hegemónico, permitiendo a la potencia emisora financiar sus déficits mediante el </w:t>
      </w:r>
      <w:proofErr w:type="spellStart"/>
      <w:r w:rsidRPr="00205686">
        <w:rPr>
          <w:rFonts w:ascii="Arial" w:hAnsi="Arial" w:cs="Arial"/>
        </w:rPr>
        <w:t>señoriaje</w:t>
      </w:r>
      <w:proofErr w:type="spellEnd"/>
      <w:r w:rsidRPr="00205686">
        <w:rPr>
          <w:rFonts w:ascii="Arial" w:hAnsi="Arial" w:cs="Arial"/>
        </w:rPr>
        <w:t xml:space="preserve"> y ejercer coerción geopolítica a través de la arquitectura financiera global (Strange, 1988). Históricamente dependiente del sistema de Bretton Woods estructurado en torno al dólar estadounidense, China ha emprendido una transformación cualitativa orientada a internacionalizar su moneda, el Renminbi (RMB), para blindar su economía y redefinir las reglas del orden global.</w:t>
      </w:r>
    </w:p>
    <w:p w14:paraId="21E5A900" w14:textId="77777777" w:rsidR="00D444BE" w:rsidRPr="00205686" w:rsidRDefault="00D444BE" w:rsidP="00D444BE">
      <w:pPr>
        <w:rPr>
          <w:rFonts w:ascii="Arial" w:hAnsi="Arial" w:cs="Arial"/>
        </w:rPr>
      </w:pPr>
      <w:r w:rsidRPr="00205686">
        <w:rPr>
          <w:rFonts w:ascii="Arial" w:hAnsi="Arial" w:cs="Arial"/>
        </w:rPr>
        <w:t>Si bien los análisis tradicionales de las Relaciones Internacionales (especialmente desde el realismo político y el liberalismo institucional) han tendido a enfocar el auge chino a través de su capacidad manufacturera, su superávit comercial y su expansión militar en el Mar de China Meridional, la disciplina exige hoy una mirada más sofisticada. El verdadero clímax de la competencia de las superpotencias en el siglo XXI se libra en el terreno de las finanzas internacionales y el poder monetario (Strange, 1988). En este contexto, el estudio del "Auge de China y la internacionalización del Renminbi (RMB)" se erige como el objeto de estudio idóneo para comprender cómo una potencia emergente desafía los cimientos de la arquitectura global de la posguerra.</w:t>
      </w:r>
    </w:p>
    <w:p w14:paraId="02913939" w14:textId="77777777" w:rsidR="00D444BE" w:rsidRPr="00205686" w:rsidRDefault="00D444BE" w:rsidP="00D444BE">
      <w:pPr>
        <w:rPr>
          <w:rFonts w:ascii="Arial" w:hAnsi="Arial" w:cs="Arial"/>
        </w:rPr>
      </w:pPr>
      <w:r w:rsidRPr="00205686">
        <w:rPr>
          <w:rFonts w:ascii="Arial" w:hAnsi="Arial" w:cs="Arial"/>
        </w:rPr>
        <w:lastRenderedPageBreak/>
        <w:t>Para abordar este objeto de estudio desde una perspectiva rigurosa, es indispensable anclar el análisis en los aportes teóricos de la Economía Política Internacional (EPI), la cual rechaza la separación artificial entre la "alta política" (la seguridad, la diplomacia y el poder militar) y la "baja política" (la economía, el comercio y las finanzas). Desde la EPI, el dinero no es un instrumento neutral de intercambio regulado por las leyes abstractas del mercado, sino una institución política por excelencia, dotada de autoridad soberana y profundamente vinculada al ejercicio del poder estatal y a la proyección de la hegemonía (Cohen, 2015).</w:t>
      </w:r>
    </w:p>
    <w:p w14:paraId="184CF97B" w14:textId="77777777" w:rsidR="00D444BE" w:rsidRPr="00205686" w:rsidRDefault="00D444BE" w:rsidP="00D444BE">
      <w:pPr>
        <w:rPr>
          <w:rFonts w:ascii="Arial" w:hAnsi="Arial" w:cs="Arial"/>
        </w:rPr>
      </w:pPr>
      <w:r w:rsidRPr="00205686">
        <w:rPr>
          <w:rFonts w:ascii="Arial" w:hAnsi="Arial" w:cs="Arial"/>
        </w:rPr>
        <w:t xml:space="preserve">Siguiendo la clásica tipología del poder estructural acuñada por Susan Strange (1988), el poder financiero y monetario constituye una de las cuatro estructuras primordiales que definen quién decide las reglas del juego global (junto con la seguridad, la producción y el conocimiento). Quien detenta la moneda de reserva hegemónica global posee lo que el exministro de finanzas francés Valéry Giscard </w:t>
      </w:r>
      <w:proofErr w:type="spellStart"/>
      <w:r w:rsidRPr="00205686">
        <w:rPr>
          <w:rFonts w:ascii="Arial" w:hAnsi="Arial" w:cs="Arial"/>
        </w:rPr>
        <w:t>d'Estaing</w:t>
      </w:r>
      <w:proofErr w:type="spellEnd"/>
      <w:r w:rsidRPr="00205686">
        <w:rPr>
          <w:rFonts w:ascii="Arial" w:hAnsi="Arial" w:cs="Arial"/>
        </w:rPr>
        <w:t xml:space="preserve"> denominó la "exorbitante ventaja": la capacidad de financiarse en su propia moneda, trasladar los costos de sus desequilibrios macroeconómicos al resto del planeta (mediante el </w:t>
      </w:r>
      <w:proofErr w:type="spellStart"/>
      <w:r w:rsidRPr="00205686">
        <w:rPr>
          <w:rFonts w:ascii="Arial" w:hAnsi="Arial" w:cs="Arial"/>
        </w:rPr>
        <w:t>señoriaje</w:t>
      </w:r>
      <w:proofErr w:type="spellEnd"/>
      <w:r w:rsidRPr="00205686">
        <w:rPr>
          <w:rFonts w:ascii="Arial" w:hAnsi="Arial" w:cs="Arial"/>
        </w:rPr>
        <w:t>) y utilizar el sistema financiero internacional como un instrumento de coerción geopolítica (</w:t>
      </w:r>
      <w:proofErr w:type="spellStart"/>
      <w:r w:rsidRPr="00205686">
        <w:rPr>
          <w:rFonts w:ascii="Arial" w:hAnsi="Arial" w:cs="Arial"/>
        </w:rPr>
        <w:t>Eichengreen</w:t>
      </w:r>
      <w:proofErr w:type="spellEnd"/>
      <w:r w:rsidRPr="00205686">
        <w:rPr>
          <w:rFonts w:ascii="Arial" w:hAnsi="Arial" w:cs="Arial"/>
        </w:rPr>
        <w:t>, 2011).</w:t>
      </w:r>
    </w:p>
    <w:p w14:paraId="5C0B98E2" w14:textId="77777777" w:rsidR="00D444BE" w:rsidRPr="00205686" w:rsidRDefault="00D444BE" w:rsidP="00D444BE">
      <w:pPr>
        <w:rPr>
          <w:rFonts w:ascii="Arial" w:hAnsi="Arial" w:cs="Arial"/>
        </w:rPr>
      </w:pPr>
      <w:r w:rsidRPr="00205686">
        <w:rPr>
          <w:rFonts w:ascii="Arial" w:hAnsi="Arial" w:cs="Arial"/>
        </w:rPr>
        <w:t>Históricamente, el orden económico internacional surgido de los acuerdos de Bretton Woods en 1944 consagró al dólar estadounidense como el eje indiscutible del sistema monetario global. Las instituciones financieras internacionales (IFI), como el Fondo Monetario Internacional (FMI) y el Banco Mundial, fueron diseñadas para preservar y reproducir esta centralidad del dólar y el liderazgo geopolítico de Washington (Ikenberry, 2018). Para China, permanecer subordinada a este sistema monetario unipolar representaba una peligrosa asimetría estructural: a pesar de ser la "fábrica del mundo" y acumular gigantescas reservas internacionales, su riqueza acumulada estaba mayoritariamente denominada en activos en dólares (como los bonos del Tesoro estadounidense), lo que la exponía directamente a los caprichos de la política monetaria de la Reserva Federal (Fed) y al riesgo geopolítico de ser blanco de sanciones financieras extraterritoriales (Prasad, 2017).</w:t>
      </w:r>
    </w:p>
    <w:p w14:paraId="43F50598" w14:textId="77777777" w:rsidR="00D444BE" w:rsidRPr="00205686" w:rsidRDefault="00D444BE" w:rsidP="00D444BE">
      <w:pPr>
        <w:rPr>
          <w:rFonts w:ascii="Arial" w:eastAsia="Times New Roman" w:hAnsi="Arial" w:cs="Arial"/>
          <w:sz w:val="24"/>
          <w:szCs w:val="24"/>
          <w:lang w:eastAsia="es-BO"/>
        </w:rPr>
      </w:pPr>
      <w:r w:rsidRPr="00205686">
        <w:rPr>
          <w:rFonts w:ascii="Arial" w:hAnsi="Arial" w:cs="Arial"/>
        </w:rPr>
        <w:t>De este modo, el concepto de internacionalización del Renminbi debe comprenderse en esta monografía no como una simple política comercial de desdolarización espontánea, sino como una estrategia deliberada y gradualista de poder soberano impulsada por el Estado y el Partido Comunista Chino (PCCh). Pekín busca transformar su poder económico real en poder estructural financiero, estructurando esferas de influencia monetaria en el Sur Global, creando arquitecturas institucionales paralelas y blindando su soberanía nacional frente a la hegemonía coercitiva de Estados Unidos.</w:t>
      </w:r>
    </w:p>
    <w:p w14:paraId="29E47CD9" w14:textId="77777777" w:rsidR="00D444BE" w:rsidRPr="00205686" w:rsidRDefault="00D444BE" w:rsidP="00D444BE">
      <w:pPr>
        <w:rPr>
          <w:rFonts w:ascii="Arial" w:eastAsia="Times New Roman" w:hAnsi="Arial" w:cs="Arial"/>
          <w:sz w:val="24"/>
          <w:szCs w:val="24"/>
          <w:lang w:eastAsia="es-BO"/>
        </w:rPr>
      </w:pPr>
      <w:r w:rsidRPr="00205686">
        <w:rPr>
          <w:rFonts w:ascii="Arial" w:hAnsi="Arial" w:cs="Arial"/>
          <w:noProof/>
          <w:sz w:val="24"/>
          <w:szCs w:val="24"/>
          <w:lang w:val="en-US"/>
        </w:rPr>
        <w:lastRenderedPageBreak/>
        <w:drawing>
          <wp:inline distT="0" distB="0" distL="0" distR="0" wp14:anchorId="5F6D353B" wp14:editId="7B9FFBEF">
            <wp:extent cx="4563110" cy="8961120"/>
            <wp:effectExtent l="0" t="0" r="889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
                    <a:srcRect l="41229" t="16229" r="41246" b="4973"/>
                    <a:stretch/>
                  </pic:blipFill>
                  <pic:spPr bwMode="auto">
                    <a:xfrm>
                      <a:off x="0" y="0"/>
                      <a:ext cx="4573083" cy="8980705"/>
                    </a:xfrm>
                    <a:prstGeom prst="rect">
                      <a:avLst/>
                    </a:prstGeom>
                    <a:ln>
                      <a:noFill/>
                    </a:ln>
                    <a:extLst>
                      <a:ext uri="{53640926-AAD7-44D8-BBD7-CCE9431645EC}">
                        <a14:shadowObscured xmlns:a14="http://schemas.microsoft.com/office/drawing/2010/main"/>
                      </a:ext>
                    </a:extLst>
                  </pic:spPr>
                </pic:pic>
              </a:graphicData>
            </a:graphic>
          </wp:inline>
        </w:drawing>
      </w:r>
    </w:p>
    <w:p w14:paraId="3D966880" w14:textId="77777777" w:rsidR="00D444BE" w:rsidRPr="00205686" w:rsidRDefault="00D444BE" w:rsidP="00D444BE">
      <w:bookmarkStart w:id="4" w:name="_Toc241517508"/>
      <w:r w:rsidRPr="00205686">
        <w:t>El Auge de China: Del "Taller del Mundo" a la Potencia Financiera</w:t>
      </w:r>
      <w:bookmarkEnd w:id="4"/>
    </w:p>
    <w:p w14:paraId="4E33BDE8" w14:textId="77777777" w:rsidR="00D444BE" w:rsidRPr="00205686" w:rsidRDefault="00D444BE" w:rsidP="00D444BE">
      <w:pPr>
        <w:rPr>
          <w:rFonts w:ascii="Arial" w:hAnsi="Arial" w:cs="Arial"/>
        </w:rPr>
      </w:pPr>
      <w:r w:rsidRPr="00205686">
        <w:rPr>
          <w:rFonts w:ascii="Arial" w:hAnsi="Arial" w:cs="Arial"/>
        </w:rPr>
        <w:lastRenderedPageBreak/>
        <w:t>El acelerado proceso de inserción de la República Popular China en la economía mundial —potenciado formalmente con su adhesión a la Organización Mundial del Comercio (OMC) en el año 2001— se cimentó sobre una estrategia de industrialización orientada a la exportación, convirtiéndola en el indiscutible "taller del mundo" (Arrighi, 2007). Durante las tres últimas décadas del siglo XX y la primera del siglo XXI, el poder económico de Pekín se midió fundamentalmente en términos de volumen de mercancías, capacidad manufacturera y acumulación masiva de superávit comercial. Sin embargo, desde la perspectiva de las Relaciones Internacionales y la EPI, este modelo generaba una profunda asimetría estructural: la acumulación de riqueza real (bienes y reservas) no venía acompañada de soberanía monetaria.</w:t>
      </w:r>
    </w:p>
    <w:p w14:paraId="32094B18" w14:textId="77777777" w:rsidR="00D444BE" w:rsidRPr="00205686" w:rsidRDefault="00D444BE" w:rsidP="00D444BE">
      <w:r w:rsidRPr="00205686">
        <w:t>La trampa de la dependencia del dólar</w:t>
      </w:r>
    </w:p>
    <w:p w14:paraId="29929B15" w14:textId="77777777" w:rsidR="00D444BE" w:rsidRPr="00205686" w:rsidRDefault="00D444BE" w:rsidP="00D444BE">
      <w:pPr>
        <w:rPr>
          <w:rFonts w:ascii="Arial" w:hAnsi="Arial" w:cs="Arial"/>
        </w:rPr>
      </w:pPr>
      <w:r w:rsidRPr="00205686">
        <w:rPr>
          <w:rFonts w:ascii="Arial" w:hAnsi="Arial" w:cs="Arial"/>
        </w:rPr>
        <w:t>A medida que China acumulaba superávits comerciales colosales, principalmente con Estados Unidos y las economías occidentales, se vio en la obligación institucional de reciclar esos dólares adquiriendo activos seguros de la potencia rival, fundamentalmente bonos del Tesoro estadounidense. Esta dinámica colocaba a Pekín en una situación de vulnerabilidad estratégica inaceptable para una potencia con aspiraciones globales:</w:t>
      </w:r>
    </w:p>
    <w:p w14:paraId="7854336A" w14:textId="77777777" w:rsidR="00D444BE" w:rsidRPr="00205686" w:rsidRDefault="00D444BE" w:rsidP="00D444BE">
      <w:pPr>
        <w:rPr>
          <w:rFonts w:ascii="Arial" w:hAnsi="Arial" w:cs="Arial"/>
        </w:rPr>
      </w:pPr>
      <w:r w:rsidRPr="00205686">
        <w:rPr>
          <w:rFonts w:ascii="Arial" w:hAnsi="Arial" w:cs="Arial"/>
        </w:rPr>
        <w:t>Riesgo de devaluación y pérdida de valor: Las fluctuaciones en la política monetaria de la Reserva Federal (Fed) y la emisión descontrolada de dólares depreciaban los activos financieros chinos atesorados en el extranjero.</w:t>
      </w:r>
    </w:p>
    <w:p w14:paraId="514571F4" w14:textId="77777777" w:rsidR="00D444BE" w:rsidRPr="00205686" w:rsidRDefault="00D444BE" w:rsidP="00D444BE">
      <w:pPr>
        <w:rPr>
          <w:rFonts w:ascii="Arial" w:hAnsi="Arial" w:cs="Arial"/>
        </w:rPr>
      </w:pPr>
      <w:r w:rsidRPr="00205686">
        <w:rPr>
          <w:rFonts w:ascii="Arial" w:hAnsi="Arial" w:cs="Arial"/>
        </w:rPr>
        <w:t>Coerción geopolítica (El "arma" financiera): Depender de un sistema financiero controlado por Washington significaba estar expuesto a medidas punitivas unilaterales, sanciones extraterritoriales y a la eventual congelación de reservas internacionales (un riesgo que se tornó evidente para las potencias emergentes tras las sanciones impuestas a Rusia a partir de 2022).</w:t>
      </w:r>
    </w:p>
    <w:p w14:paraId="70316EA3" w14:textId="77777777" w:rsidR="00D444BE" w:rsidRPr="00205686" w:rsidRDefault="00D444BE" w:rsidP="00D444BE">
      <w:pPr>
        <w:rPr>
          <w:rFonts w:ascii="Arial" w:hAnsi="Arial" w:cs="Arial"/>
        </w:rPr>
      </w:pPr>
      <w:r w:rsidRPr="00205686">
        <w:rPr>
          <w:rFonts w:ascii="Arial" w:hAnsi="Arial" w:cs="Arial"/>
        </w:rPr>
        <w:t xml:space="preserve">Para superar esta contradicción, los estrategas del Partido Comunista Chino comprendieron que el poder comercial es una forma de poder </w:t>
      </w:r>
      <w:r w:rsidRPr="00205686">
        <w:rPr>
          <w:rFonts w:ascii="Arial" w:hAnsi="Arial" w:cs="Arial"/>
          <w:i/>
          <w:iCs/>
        </w:rPr>
        <w:t>superficial</w:t>
      </w:r>
      <w:r w:rsidRPr="00205686">
        <w:rPr>
          <w:rFonts w:ascii="Arial" w:hAnsi="Arial" w:cs="Arial"/>
        </w:rPr>
        <w:t xml:space="preserve"> si no se traduce en poder estructural financiero (Strange, 1988). El salto cualitativo consistió en transitar desde una economía que meramente produce y exporta bienes hacia una que exporta capitales y provee liquidez internacional en su propia moneda.</w:t>
      </w:r>
    </w:p>
    <w:p w14:paraId="336E4A9E" w14:textId="77777777" w:rsidR="00D444BE" w:rsidRPr="00205686" w:rsidRDefault="00D444BE" w:rsidP="00D444BE">
      <w:pPr>
        <w:rPr>
          <w:rFonts w:ascii="Arial" w:hAnsi="Arial" w:cs="Arial"/>
        </w:rPr>
      </w:pPr>
      <w:r w:rsidRPr="00205686">
        <w:rPr>
          <w:rFonts w:ascii="Arial" w:hAnsi="Arial" w:cs="Arial"/>
        </w:rPr>
        <w:t>Esta transición no busca únicamente beneficios económicos o la reducción de costos de transacción para las empresas chinas, sino un objetivo estrictamente político: que el Renminbi (RMB) cumpla de manera plena las tres funciones clásicas del dinero a escala global (unidad de cuenta, medio de pago y reserva de valor), erosionando de este modo la "exorbitante ventaja" de Estados Unidos y construyendo un entorno multipolar donde Pekín controle las reglas de su propio espacio financiero regional y global (Cohen, 2015).</w:t>
      </w:r>
    </w:p>
    <w:p w14:paraId="29315C5A"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El crecimiento económico de China desde las reformas de apertura de 1978 la transformó en la segunda economía mundial y en el principal motor del comercio internacional. Sin embargo, en el marco de las Relaciones Internacionales, las potencias emergentes experimentan una contradicción fundamental: poseen un gran poder económico comercial, pero dependen de la infraestructura financiera y monetaria diseñada por la potencia hegemónica decadente (en este caso, el sistema instituido en Bretton Woods en 1944).</w:t>
      </w:r>
    </w:p>
    <w:p w14:paraId="65B0B113"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La vulnerabilidad estructural: Estar atados al dólar estadounidense significaba para Pekín asumir los riesgos de la política monetaria de la Reserva Federal (Fed) de EE. UU. y la exposición a sanciones económicas y financieras unilaterales (el "arma del dólar").</w:t>
      </w:r>
    </w:p>
    <w:p w14:paraId="46861193"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El tránsito hacia el poder financiero: Para consolidar su estatus de superpotencia, China comprendió que el poder comercial debía complementarse inexorablemente con poder monetario. Quien emite la moneda de reserva global detenta la capacidad de financiar </w:t>
      </w:r>
      <w:proofErr w:type="gramStart"/>
      <w:r w:rsidRPr="00205686">
        <w:rPr>
          <w:rFonts w:ascii="Arial" w:eastAsia="Times New Roman" w:hAnsi="Arial" w:cs="Arial"/>
          <w:sz w:val="24"/>
          <w:szCs w:val="24"/>
          <w:lang w:eastAsia="es-BO"/>
        </w:rPr>
        <w:t>sus déficit</w:t>
      </w:r>
      <w:proofErr w:type="gramEnd"/>
      <w:r w:rsidRPr="00205686">
        <w:rPr>
          <w:rFonts w:ascii="Arial" w:eastAsia="Times New Roman" w:hAnsi="Arial" w:cs="Arial"/>
          <w:sz w:val="24"/>
          <w:szCs w:val="24"/>
          <w:lang w:eastAsia="es-BO"/>
        </w:rPr>
        <w:t xml:space="preserve">, gravar a otros países mediante el </w:t>
      </w:r>
      <w:proofErr w:type="spellStart"/>
      <w:r w:rsidRPr="00205686">
        <w:rPr>
          <w:rFonts w:ascii="Arial" w:eastAsia="Times New Roman" w:hAnsi="Arial" w:cs="Arial"/>
          <w:sz w:val="24"/>
          <w:szCs w:val="24"/>
          <w:lang w:eastAsia="es-BO"/>
        </w:rPr>
        <w:t>señoriaje</w:t>
      </w:r>
      <w:proofErr w:type="spellEnd"/>
      <w:r w:rsidRPr="00205686">
        <w:rPr>
          <w:rFonts w:ascii="Arial" w:eastAsia="Times New Roman" w:hAnsi="Arial" w:cs="Arial"/>
          <w:sz w:val="24"/>
          <w:szCs w:val="24"/>
          <w:lang w:eastAsia="es-BO"/>
        </w:rPr>
        <w:t xml:space="preserve"> y ejercer control geopolítico.</w:t>
      </w:r>
    </w:p>
    <w:p w14:paraId="205D0EEB" w14:textId="77777777" w:rsidR="00D444BE" w:rsidRPr="00205686" w:rsidRDefault="00D444BE" w:rsidP="00D444BE">
      <w:bookmarkStart w:id="5" w:name="_Toc241517509"/>
      <w:r w:rsidRPr="00205686">
        <w:lastRenderedPageBreak/>
        <w:t>Dimensiones conceptuales del "Auge de China"</w:t>
      </w:r>
      <w:bookmarkEnd w:id="5"/>
    </w:p>
    <w:p w14:paraId="2D121108"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De "Taller del Mundo" a Potencia Tecnológica y Financiera: Tradicionalmente, el auge chino se estudiaba desde su capacidad manufacturera y comercial (es el mayor exportador global y centro de las cadenas globales de valor). Sin embargo, el salto cualitativo actual radica en su proyección monetaria y financiera. </w:t>
      </w:r>
    </w:p>
    <w:p w14:paraId="29243A92"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El modelo de desarrollo ("Sino-capitalismo"): A diferencia del capitalismo liberal anglosajón, China opera bajo un modelo de capitalismo coordinado y dirigido por el Estado (el Partido Comunista Chino), lo que le permite planificar estrategias a largo plazo, como la internacionalización de su moneda sin perder el control político de sus flujos de capital. </w:t>
      </w:r>
    </w:p>
    <w:p w14:paraId="6DE7C4A2" w14:textId="77777777" w:rsidR="00D444BE" w:rsidRPr="00205686" w:rsidRDefault="00D444BE" w:rsidP="00D444BE">
      <w:bookmarkStart w:id="6" w:name="_Toc241517510"/>
      <w:r w:rsidRPr="00205686">
        <w:t xml:space="preserve">La Internacionalización del Renminbi (RMB / </w:t>
      </w:r>
      <w:proofErr w:type="gramStart"/>
      <w:r w:rsidRPr="00205686">
        <w:t>Yuan</w:t>
      </w:r>
      <w:proofErr w:type="gramEnd"/>
      <w:r w:rsidRPr="00205686">
        <w:t>)</w:t>
      </w:r>
      <w:bookmarkEnd w:id="6"/>
    </w:p>
    <w:p w14:paraId="6F6F73A2"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¿Qué busca Pekín? Toda potencia hegemónica o emergente con vocación global busca que su moneda cumpla las funciones internacionales clásicas: unidad de cuenta, medio de pago y reserva de valor. Depender del dólar estadounidense (USD) representa una vulnerabilidad geopolítica ante sanciones o crisis inducidas por Washington.</w:t>
      </w:r>
    </w:p>
    <w:p w14:paraId="21B40690"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Estrategia gradual y controlada: </w:t>
      </w:r>
    </w:p>
    <w:p w14:paraId="126C8DC5"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i/>
          <w:iCs/>
          <w:sz w:val="24"/>
          <w:szCs w:val="24"/>
          <w:lang w:eastAsia="es-BO"/>
        </w:rPr>
        <w:t>Facturación comercial:</w:t>
      </w:r>
      <w:r w:rsidRPr="00205686">
        <w:rPr>
          <w:rFonts w:ascii="Arial" w:eastAsia="Times New Roman" w:hAnsi="Arial" w:cs="Arial"/>
          <w:sz w:val="24"/>
          <w:szCs w:val="24"/>
          <w:lang w:eastAsia="es-BO"/>
        </w:rPr>
        <w:t xml:space="preserve"> Ampliar el uso del yuan en la liquidación de transacciones de materias primas (petróleo, minerales) y comercio bilateral con socios del Sur Global.</w:t>
      </w:r>
    </w:p>
    <w:p w14:paraId="69876EAB"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i/>
          <w:iCs/>
          <w:sz w:val="24"/>
          <w:szCs w:val="24"/>
          <w:lang w:eastAsia="es-BO"/>
        </w:rPr>
        <w:t xml:space="preserve">Mercados </w:t>
      </w:r>
      <w:proofErr w:type="gramStart"/>
      <w:r w:rsidRPr="00205686">
        <w:rPr>
          <w:rFonts w:ascii="Arial" w:eastAsia="Times New Roman" w:hAnsi="Arial" w:cs="Arial"/>
          <w:i/>
          <w:iCs/>
          <w:sz w:val="24"/>
          <w:szCs w:val="24"/>
          <w:lang w:eastAsia="es-BO"/>
        </w:rPr>
        <w:t>Offshore</w:t>
      </w:r>
      <w:proofErr w:type="gramEnd"/>
      <w:r w:rsidRPr="00205686">
        <w:rPr>
          <w:rFonts w:ascii="Arial" w:eastAsia="Times New Roman" w:hAnsi="Arial" w:cs="Arial"/>
          <w:i/>
          <w:iCs/>
          <w:sz w:val="24"/>
          <w:szCs w:val="24"/>
          <w:lang w:eastAsia="es-BO"/>
        </w:rPr>
        <w:t xml:space="preserve"> y Swaps:</w:t>
      </w:r>
      <w:r w:rsidRPr="00205686">
        <w:rPr>
          <w:rFonts w:ascii="Arial" w:eastAsia="Times New Roman" w:hAnsi="Arial" w:cs="Arial"/>
          <w:sz w:val="24"/>
          <w:szCs w:val="24"/>
          <w:lang w:eastAsia="es-BO"/>
        </w:rPr>
        <w:t xml:space="preserve"> Creación de centros financieros fuera de China (como Hong Kong o plazas en América Latina y Europa) y la firma de acuerdos de canje de monedas (</w:t>
      </w:r>
      <w:r w:rsidRPr="00205686">
        <w:rPr>
          <w:rFonts w:ascii="Arial" w:eastAsia="Times New Roman" w:hAnsi="Arial" w:cs="Arial"/>
          <w:i/>
          <w:iCs/>
          <w:sz w:val="24"/>
          <w:szCs w:val="24"/>
          <w:lang w:eastAsia="es-BO"/>
        </w:rPr>
        <w:t>swaps</w:t>
      </w:r>
      <w:r w:rsidRPr="00205686">
        <w:rPr>
          <w:rFonts w:ascii="Arial" w:eastAsia="Times New Roman" w:hAnsi="Arial" w:cs="Arial"/>
          <w:sz w:val="24"/>
          <w:szCs w:val="24"/>
          <w:lang w:eastAsia="es-BO"/>
        </w:rPr>
        <w:t xml:space="preserve"> cambiarios) con diversos bancos centrales para proveer liquidez en yuanes.</w:t>
      </w:r>
    </w:p>
    <w:p w14:paraId="0BAD877E" w14:textId="77777777" w:rsidR="00D444BE" w:rsidRPr="00205686" w:rsidRDefault="00D444BE" w:rsidP="00D444BE">
      <w:bookmarkStart w:id="7" w:name="_Toc241517511"/>
      <w:r w:rsidRPr="00205686">
        <w:t>Implicaciones Geopolíticas y Desafíos Sistémicos</w:t>
      </w:r>
      <w:bookmarkEnd w:id="7"/>
    </w:p>
    <w:p w14:paraId="1B33996F"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La transición hacia la Multipolaridad Monetaria: El ascenso del renminbi desafía el monopolio histórico del dólar (la "exorbitante ventaja" de EE. UU.). Aunque el dólar sigue dominando las reservas internacionales y el sistema de pagos globales (como SWIFT), el yuan va ganando espacio de forma lenta pero constante, impulsado por bloques como los BRICS y acuerdos bilaterales al margen de Washington.</w:t>
      </w:r>
    </w:p>
    <w:p w14:paraId="2591F4B1"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Las contradicciones (El Dilema de </w:t>
      </w:r>
      <w:proofErr w:type="spellStart"/>
      <w:r w:rsidRPr="00205686">
        <w:rPr>
          <w:rFonts w:ascii="Arial" w:eastAsia="Times New Roman" w:hAnsi="Arial" w:cs="Arial"/>
          <w:sz w:val="24"/>
          <w:szCs w:val="24"/>
          <w:lang w:eastAsia="es-BO"/>
        </w:rPr>
        <w:t>Triffin</w:t>
      </w:r>
      <w:proofErr w:type="spellEnd"/>
      <w:r w:rsidRPr="00205686">
        <w:rPr>
          <w:rFonts w:ascii="Arial" w:eastAsia="Times New Roman" w:hAnsi="Arial" w:cs="Arial"/>
          <w:sz w:val="24"/>
          <w:szCs w:val="24"/>
          <w:lang w:eastAsia="es-BO"/>
        </w:rPr>
        <w:t xml:space="preserve"> ampliado): Para que una moneda sea verdaderamente global y de reserva, el país emisor debe incurrir en déficits comerciales crónicos para abastecer de liquidez al mundo. No obstante, el modelo chino se basa históricamente en superávits comerciales y controles estrictos de capitales ("convertibilidad controlada"), lo que pone límites estructurales a su expansión total. </w:t>
      </w:r>
    </w:p>
    <w:p w14:paraId="6B64FB12"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Instituciones paralelas: Este auge financiero va de la mano de la creación de estructuras alternativas al orden de Bretton Woods (como el Banco Asiático de Inversión en Infraestructura - BAII) y proyectos de infraestructura global como la Nueva Ruta de la Seda (</w:t>
      </w:r>
      <w:r w:rsidRPr="00205686">
        <w:rPr>
          <w:rFonts w:ascii="Arial" w:eastAsia="Times New Roman" w:hAnsi="Arial" w:cs="Arial"/>
          <w:i/>
          <w:iCs/>
          <w:sz w:val="24"/>
          <w:szCs w:val="24"/>
          <w:lang w:eastAsia="es-BO"/>
        </w:rPr>
        <w:t xml:space="preserve">Belt and Road </w:t>
      </w:r>
      <w:proofErr w:type="spellStart"/>
      <w:r w:rsidRPr="00205686">
        <w:rPr>
          <w:rFonts w:ascii="Arial" w:eastAsia="Times New Roman" w:hAnsi="Arial" w:cs="Arial"/>
          <w:i/>
          <w:iCs/>
          <w:sz w:val="24"/>
          <w:szCs w:val="24"/>
          <w:lang w:eastAsia="es-BO"/>
        </w:rPr>
        <w:t>Initiative</w:t>
      </w:r>
      <w:proofErr w:type="spellEnd"/>
      <w:r w:rsidRPr="00205686">
        <w:rPr>
          <w:rFonts w:ascii="Arial" w:eastAsia="Times New Roman" w:hAnsi="Arial" w:cs="Arial"/>
          <w:sz w:val="24"/>
          <w:szCs w:val="24"/>
          <w:lang w:eastAsia="es-BO"/>
        </w:rPr>
        <w:t>), consolidando esferas de influencia geoestratégica.</w:t>
      </w:r>
    </w:p>
    <w:p w14:paraId="1C00DA67" w14:textId="77777777" w:rsidR="00D444BE" w:rsidRPr="00205686" w:rsidRDefault="00D444BE" w:rsidP="00D444BE">
      <w:bookmarkStart w:id="8" w:name="_Toc241517512"/>
      <w:r w:rsidRPr="00205686">
        <w:t>La Estrategia de Internacionalización del RENMINBI (RMB)</w:t>
      </w:r>
      <w:bookmarkEnd w:id="8"/>
    </w:p>
    <w:p w14:paraId="67C75471" w14:textId="77777777" w:rsidR="00D444BE" w:rsidRPr="00205686" w:rsidRDefault="00D444BE" w:rsidP="00D444BE">
      <w:pPr>
        <w:rPr>
          <w:rFonts w:ascii="Arial" w:hAnsi="Arial" w:cs="Arial"/>
        </w:rPr>
      </w:pPr>
      <w:r w:rsidRPr="00205686">
        <w:rPr>
          <w:rFonts w:ascii="Arial" w:hAnsi="Arial" w:cs="Arial"/>
        </w:rPr>
        <w:t xml:space="preserve">A diferencia de los procesos históricos de internacionalización monetaria del siglo XX, que respondieron predominantemente a fuerzas espontáneas del mercado y a la supremacía financiera privada (como ocurrió con el dólar tras el colapso </w:t>
      </w:r>
      <w:proofErr w:type="spellStart"/>
      <w:r w:rsidRPr="00205686">
        <w:rPr>
          <w:rFonts w:ascii="Arial" w:hAnsi="Arial" w:cs="Arial"/>
        </w:rPr>
        <w:t>de el</w:t>
      </w:r>
      <w:proofErr w:type="spellEnd"/>
      <w:r w:rsidRPr="00205686">
        <w:rPr>
          <w:rFonts w:ascii="Arial" w:hAnsi="Arial" w:cs="Arial"/>
        </w:rPr>
        <w:t xml:space="preserve"> patrón oro), el ascenso internacional del RENMINBI es un proceso altamente planificado, gradual, asimétrico y dirigido férreamente por el Estado chino a través de su banco central (el Banco Popular de China - BPC) y los ministerios económicos (Prasad, 2017). Para sortear los estrictos controles de capital que </w:t>
      </w:r>
      <w:r w:rsidRPr="00205686">
        <w:rPr>
          <w:rFonts w:ascii="Arial" w:hAnsi="Arial" w:cs="Arial"/>
        </w:rPr>
        <w:lastRenderedPageBreak/>
        <w:t>Pekín mantiene para proteger su estabilidad interna, el Estado ha desplegado una estrategia trifásica basada en los siguientes instrumentos:</w:t>
      </w:r>
    </w:p>
    <w:p w14:paraId="64FF67A3" w14:textId="77777777" w:rsidR="00D444BE" w:rsidRPr="00205686" w:rsidRDefault="00D444BE" w:rsidP="00D444BE">
      <w:r w:rsidRPr="00205686">
        <w:t>A. Facturación del comercio exterior y creación de los "</w:t>
      </w:r>
      <w:proofErr w:type="spellStart"/>
      <w:r w:rsidRPr="00205686">
        <w:t>Petroyuanes</w:t>
      </w:r>
      <w:proofErr w:type="spellEnd"/>
      <w:r w:rsidRPr="00205686">
        <w:t>"</w:t>
      </w:r>
    </w:p>
    <w:p w14:paraId="3537CA55" w14:textId="77777777" w:rsidR="00D444BE" w:rsidRPr="00205686" w:rsidRDefault="00D444BE" w:rsidP="00D444BE">
      <w:pPr>
        <w:rPr>
          <w:rFonts w:ascii="Arial" w:hAnsi="Arial" w:cs="Arial"/>
        </w:rPr>
      </w:pPr>
      <w:r w:rsidRPr="00205686">
        <w:rPr>
          <w:rFonts w:ascii="Arial" w:hAnsi="Arial" w:cs="Arial"/>
        </w:rPr>
        <w:t>El primer peldaño de la estrategia consistió en incentivar el uso del yuan en las transacciones comerciales bilaterales de China con sus socios del Sur Global y vecinos asiáticos. Mediante la eliminación gradual de barreras administrativas, Pekín permitió que sus empresas liquidaran exportaciones e importaciones directamente en RMB.</w:t>
      </w:r>
    </w:p>
    <w:p w14:paraId="3859EADB" w14:textId="77777777" w:rsidR="00D444BE" w:rsidRPr="00205686" w:rsidRDefault="00D444BE" w:rsidP="00D444BE">
      <w:pPr>
        <w:rPr>
          <w:rFonts w:ascii="Arial" w:hAnsi="Arial" w:cs="Arial"/>
        </w:rPr>
      </w:pPr>
      <w:r w:rsidRPr="00205686">
        <w:rPr>
          <w:rFonts w:ascii="Arial" w:hAnsi="Arial" w:cs="Arial"/>
        </w:rPr>
        <w:t xml:space="preserve">El hito cualitativo más relevante en esta dimensión ha sido la presión sistemática para denominar las importaciones de materias primas críticas —en particular el petróleo y el gas natural provenientes de socios clave como Rusia, los países del Golfo Pérsico (con Arabia Saudita a la cabeza) e Irán— en moneda china. Al consolidar los llamados </w:t>
      </w:r>
      <w:r w:rsidRPr="00205686">
        <w:rPr>
          <w:rFonts w:ascii="Arial" w:hAnsi="Arial" w:cs="Arial"/>
          <w:i/>
          <w:iCs/>
        </w:rPr>
        <w:t>"</w:t>
      </w:r>
      <w:proofErr w:type="spellStart"/>
      <w:r w:rsidRPr="00205686">
        <w:rPr>
          <w:rFonts w:ascii="Arial" w:hAnsi="Arial" w:cs="Arial"/>
          <w:i/>
          <w:iCs/>
        </w:rPr>
        <w:t>petroyuanes</w:t>
      </w:r>
      <w:proofErr w:type="spellEnd"/>
      <w:r w:rsidRPr="00205686">
        <w:rPr>
          <w:rFonts w:ascii="Arial" w:hAnsi="Arial" w:cs="Arial"/>
          <w:i/>
          <w:iCs/>
        </w:rPr>
        <w:t>"</w:t>
      </w:r>
      <w:r w:rsidRPr="00205686">
        <w:rPr>
          <w:rFonts w:ascii="Arial" w:hAnsi="Arial" w:cs="Arial"/>
        </w:rPr>
        <w:t>, China vincula su divisa a los recursos energéticos vitales del planeta, obligando a los países exportadores de petróleo a reciclar esos yuanes comprando bienes chinos o activos financieros denominados en la misma moneda, desplazando así al petrodólar.</w:t>
      </w:r>
    </w:p>
    <w:p w14:paraId="6C93B470" w14:textId="77777777" w:rsidR="00D444BE" w:rsidRPr="00205686" w:rsidRDefault="00D444BE" w:rsidP="00D444BE">
      <w:r w:rsidRPr="00205686">
        <w:t>B. La red global de Acuerdos de Canje de Monedas (Swap Lines)</w:t>
      </w:r>
    </w:p>
    <w:p w14:paraId="797E2791" w14:textId="77777777" w:rsidR="00D444BE" w:rsidRPr="00205686" w:rsidRDefault="00D444BE" w:rsidP="00D444BE">
      <w:pPr>
        <w:rPr>
          <w:rFonts w:ascii="Arial" w:hAnsi="Arial" w:cs="Arial"/>
        </w:rPr>
      </w:pPr>
      <w:r w:rsidRPr="00205686">
        <w:rPr>
          <w:rFonts w:ascii="Arial" w:hAnsi="Arial" w:cs="Arial"/>
        </w:rPr>
        <w:t>Para que una moneda circule internacionalmente, los agentes extranjeros deben tener acceso a ella sin necesidad de incurrir en déficit con el país emisor. Ante la negativa de abrir completamente su cuenta de capitales por temor a crisis financieras especulativas, el Banco Popular de China diseñó una innovadora red de acuerdos bilaterales de intercambio de divisas (</w:t>
      </w:r>
      <w:r w:rsidRPr="00205686">
        <w:rPr>
          <w:rFonts w:ascii="Arial" w:hAnsi="Arial" w:cs="Arial"/>
          <w:i/>
          <w:iCs/>
        </w:rPr>
        <w:t>swaps</w:t>
      </w:r>
      <w:r w:rsidRPr="00205686">
        <w:rPr>
          <w:rFonts w:ascii="Arial" w:hAnsi="Arial" w:cs="Arial"/>
        </w:rPr>
        <w:t>) con decenas de bancos centrales de economías tanto emergentes (como Argentina, Brasil o Pakistán) como desarrolladas.</w:t>
      </w:r>
    </w:p>
    <w:p w14:paraId="77C0E1AE" w14:textId="77777777" w:rsidR="00D444BE" w:rsidRPr="00205686" w:rsidRDefault="00D444BE" w:rsidP="00D444BE">
      <w:pPr>
        <w:rPr>
          <w:rFonts w:ascii="Arial" w:hAnsi="Arial" w:cs="Arial"/>
        </w:rPr>
      </w:pPr>
      <w:r w:rsidRPr="00205686">
        <w:rPr>
          <w:rFonts w:ascii="Arial" w:hAnsi="Arial" w:cs="Arial"/>
        </w:rPr>
        <w:t>Estos acuerdos permiten a los bancos centrales extranjeros intercambiar sus monedas locales por yuanes en momentos de escasez de liquidez o crisis de balanza de pagos. De este modo, el BPC actúa de facto como un prestamista de última instancia alternativo, reduciendo la dependencia de los países del Sur Global respecto a los rescates condicionados y ortodoxos del Fondo Monetario Internacional (FMI).</w:t>
      </w:r>
    </w:p>
    <w:p w14:paraId="3D9EC1BA" w14:textId="77777777" w:rsidR="00D444BE" w:rsidRPr="00205686" w:rsidRDefault="00D444BE" w:rsidP="00D444BE">
      <w:r w:rsidRPr="00205686">
        <w:t>C. Infraestructura financiera autónoma: El sistema CIPS</w:t>
      </w:r>
    </w:p>
    <w:p w14:paraId="0E7ADD9B" w14:textId="77777777" w:rsidR="00D444BE" w:rsidRPr="00205686" w:rsidRDefault="00D444BE" w:rsidP="00D444BE">
      <w:pPr>
        <w:rPr>
          <w:rFonts w:ascii="Arial" w:hAnsi="Arial" w:cs="Arial"/>
        </w:rPr>
      </w:pPr>
      <w:r w:rsidRPr="00205686">
        <w:rPr>
          <w:rFonts w:ascii="Arial" w:hAnsi="Arial" w:cs="Arial"/>
        </w:rPr>
        <w:t xml:space="preserve">Uno de los talones de Aquiles para cualquier potencia que desafíe el orden financiero occidental es su dependencia de la red de mensajería interbancaria SWIFT (con sede en Bélgica), la cual se encuentra </w:t>
      </w:r>
      <w:proofErr w:type="gramStart"/>
      <w:r w:rsidRPr="00205686">
        <w:rPr>
          <w:rFonts w:ascii="Arial" w:hAnsi="Arial" w:cs="Arial"/>
        </w:rPr>
        <w:t>geográficamente y políticamente</w:t>
      </w:r>
      <w:proofErr w:type="gramEnd"/>
      <w:r w:rsidRPr="00205686">
        <w:rPr>
          <w:rFonts w:ascii="Arial" w:hAnsi="Arial" w:cs="Arial"/>
        </w:rPr>
        <w:t xml:space="preserve"> alineada con los intereses de Estados Unidos y la Unión Europea.</w:t>
      </w:r>
    </w:p>
    <w:p w14:paraId="1A943F67" w14:textId="77777777" w:rsidR="00D444BE" w:rsidRPr="00205686" w:rsidRDefault="00D444BE" w:rsidP="00D444BE">
      <w:pPr>
        <w:rPr>
          <w:rFonts w:ascii="Arial" w:hAnsi="Arial" w:cs="Arial"/>
        </w:rPr>
      </w:pPr>
      <w:r w:rsidRPr="00205686">
        <w:rPr>
          <w:rFonts w:ascii="Arial" w:hAnsi="Arial" w:cs="Arial"/>
        </w:rPr>
        <w:t>Para blindar sus transacciones de posibles bloqueos políticos, China desarrolló y expandió aceleradamente el Sistema Interbancario de Pagos Transfronterizos (CIPS) (</w:t>
      </w:r>
      <w:r w:rsidRPr="00205686">
        <w:rPr>
          <w:rFonts w:ascii="Arial" w:hAnsi="Arial" w:cs="Arial"/>
          <w:i/>
          <w:iCs/>
        </w:rPr>
        <w:t xml:space="preserve">Cross-Border Interbank Payment </w:t>
      </w:r>
      <w:proofErr w:type="spellStart"/>
      <w:r w:rsidRPr="00205686">
        <w:rPr>
          <w:rFonts w:ascii="Arial" w:hAnsi="Arial" w:cs="Arial"/>
          <w:i/>
          <w:iCs/>
        </w:rPr>
        <w:t>System</w:t>
      </w:r>
      <w:proofErr w:type="spellEnd"/>
      <w:r w:rsidRPr="00205686">
        <w:rPr>
          <w:rFonts w:ascii="Arial" w:hAnsi="Arial" w:cs="Arial"/>
        </w:rPr>
        <w:t>). El CIPS proporciona una plataforma independiente para la compensación y liquidación de transacciones en yuanes a nivel global, permitiendo a los bancos chinos y extranjeros operar al margen de los circuitos tradicionales controlados por Washington, consolidando así una infraestructura financiera soberana y resistente a sanciones.</w:t>
      </w:r>
    </w:p>
    <w:p w14:paraId="44511FD2" w14:textId="77777777" w:rsidR="00D444BE" w:rsidRPr="00205686" w:rsidRDefault="00D444BE" w:rsidP="00D444BE">
      <w:pPr>
        <w:rPr>
          <w:rFonts w:ascii="Arial" w:hAnsi="Arial" w:cs="Arial"/>
        </w:rPr>
      </w:pPr>
      <w:r w:rsidRPr="00205686">
        <w:rPr>
          <w:rFonts w:ascii="Arial" w:hAnsi="Arial" w:cs="Arial"/>
        </w:rPr>
        <w:t>El crecimiento de China tras las reformas de apertura económica de 1978 la consolidó como el principal exportador mundial y eje de las cadenas globales de valor. Sin embargo, este éxito comercial albergaba una profunda asimetría geopolítica: la dependencia de los activos en dólares estadounidenses y de los mercados financieros occidentales exponía a Pekín a la volatilidad de la política monetaria de la Reserva Federal y a la vulnerabilidad de las sanciones extraterritoriales de Washington (</w:t>
      </w:r>
      <w:proofErr w:type="spellStart"/>
      <w:r w:rsidRPr="00205686">
        <w:rPr>
          <w:rFonts w:ascii="Arial" w:hAnsi="Arial" w:cs="Arial"/>
        </w:rPr>
        <w:t>Eichengreen</w:t>
      </w:r>
      <w:proofErr w:type="spellEnd"/>
      <w:r w:rsidRPr="00205686">
        <w:rPr>
          <w:rFonts w:ascii="Arial" w:hAnsi="Arial" w:cs="Arial"/>
        </w:rPr>
        <w:t>, 2011).</w:t>
      </w:r>
    </w:p>
    <w:p w14:paraId="773E871D" w14:textId="77777777" w:rsidR="00D444BE" w:rsidRPr="00205686" w:rsidRDefault="00D444BE" w:rsidP="00D444BE">
      <w:pPr>
        <w:rPr>
          <w:rFonts w:ascii="Arial" w:hAnsi="Arial" w:cs="Arial"/>
        </w:rPr>
      </w:pPr>
      <w:r w:rsidRPr="00205686">
        <w:rPr>
          <w:rFonts w:ascii="Arial" w:hAnsi="Arial" w:cs="Arial"/>
        </w:rPr>
        <w:t xml:space="preserve">Para superar esta traba estructural, el Estado chino —bajo la conducción estratégica del Partido Comunista Chino— comprendió que el poder comercial debía articularse con el poder monetario. La internacionalización del renminbi no responde a una evolución espontánea de los mercados </w:t>
      </w:r>
      <w:r w:rsidRPr="00205686">
        <w:rPr>
          <w:rFonts w:ascii="Arial" w:hAnsi="Arial" w:cs="Arial"/>
        </w:rPr>
        <w:lastRenderedPageBreak/>
        <w:t>libres, sino a una estrategia deliberada y gradualista de expansión financiera soberana (Cohen, 2015).</w:t>
      </w:r>
    </w:p>
    <w:p w14:paraId="34D25CD8"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A diferencia de procesos históricos de internacionalización monetaria guiados por el libre mercado (como el surgimiento del dólar en el siglo XX), el ascenso del renminbi es un proceso altamente planificado, gradual y controlado por el Estado y el Partido Comunista Chino (PCCh).</w:t>
      </w:r>
    </w:p>
    <w:p w14:paraId="0540A74F"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Esta estrategia se despliega en tres niveles principales:</w:t>
      </w:r>
    </w:p>
    <w:p w14:paraId="1C5F3733"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Facturación del comercio exterior en yuanes: Pekín ha impulsado sistemáticamente que sus transacciones de importación y exportación —especialmente en materias primas críticas como el petróleo (los llamados </w:t>
      </w:r>
      <w:proofErr w:type="spellStart"/>
      <w:r w:rsidRPr="00205686">
        <w:rPr>
          <w:rFonts w:ascii="Arial" w:eastAsia="Times New Roman" w:hAnsi="Arial" w:cs="Arial"/>
          <w:i/>
          <w:iCs/>
          <w:sz w:val="24"/>
          <w:szCs w:val="24"/>
          <w:lang w:eastAsia="es-BO"/>
        </w:rPr>
        <w:t>petroyuanes</w:t>
      </w:r>
      <w:proofErr w:type="spellEnd"/>
      <w:r w:rsidRPr="00205686">
        <w:rPr>
          <w:rFonts w:ascii="Arial" w:eastAsia="Times New Roman" w:hAnsi="Arial" w:cs="Arial"/>
          <w:sz w:val="24"/>
          <w:szCs w:val="24"/>
          <w:lang w:eastAsia="es-BO"/>
        </w:rPr>
        <w:t>), el gas y los minerales estratégicos— se liquiden directamente en su moneda nacional, evitando el uso del sistema de pagos basado en dólares.</w:t>
      </w:r>
    </w:p>
    <w:p w14:paraId="0BD56D88"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Acuerdos de Canje de Monedas (</w:t>
      </w:r>
      <w:r w:rsidRPr="00205686">
        <w:rPr>
          <w:rFonts w:ascii="Arial" w:eastAsia="Times New Roman" w:hAnsi="Arial" w:cs="Arial"/>
          <w:i/>
          <w:iCs/>
          <w:sz w:val="24"/>
          <w:szCs w:val="24"/>
          <w:lang w:eastAsia="es-BO"/>
        </w:rPr>
        <w:t>Swap Lines</w:t>
      </w:r>
      <w:r w:rsidRPr="00205686">
        <w:rPr>
          <w:rFonts w:ascii="Arial" w:eastAsia="Times New Roman" w:hAnsi="Arial" w:cs="Arial"/>
          <w:sz w:val="24"/>
          <w:szCs w:val="24"/>
          <w:lang w:eastAsia="es-BO"/>
        </w:rPr>
        <w:t>): El Banco Popular de China ha firmado numerosos acuerdos de intercambio de divisas con bancos centrales de economías emergentes y desarrolladas. Esto permite a los socios comerciales de China obtener liquidez en yuanes sin necesidad de recurrir a reservas en dólares.</w:t>
      </w:r>
    </w:p>
    <w:p w14:paraId="15D7B142"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Internacionalización de los sistemas de pago alternativos: Para mitigar el riesgo de exclusión de la red occidental SWIFT (como ocurrió con Rusia), China ha desarrollado y expandido el CIPS (</w:t>
      </w:r>
      <w:r w:rsidRPr="00205686">
        <w:rPr>
          <w:rFonts w:ascii="Arial" w:eastAsia="Times New Roman" w:hAnsi="Arial" w:cs="Arial"/>
          <w:i/>
          <w:iCs/>
          <w:sz w:val="24"/>
          <w:szCs w:val="24"/>
          <w:lang w:eastAsia="es-BO"/>
        </w:rPr>
        <w:t xml:space="preserve">Cross-Border Interbank Payment </w:t>
      </w:r>
      <w:proofErr w:type="spellStart"/>
      <w:r w:rsidRPr="00205686">
        <w:rPr>
          <w:rFonts w:ascii="Arial" w:eastAsia="Times New Roman" w:hAnsi="Arial" w:cs="Arial"/>
          <w:i/>
          <w:iCs/>
          <w:sz w:val="24"/>
          <w:szCs w:val="24"/>
          <w:lang w:eastAsia="es-BO"/>
        </w:rPr>
        <w:t>System</w:t>
      </w:r>
      <w:proofErr w:type="spellEnd"/>
      <w:r w:rsidRPr="00205686">
        <w:rPr>
          <w:rFonts w:ascii="Arial" w:eastAsia="Times New Roman" w:hAnsi="Arial" w:cs="Arial"/>
          <w:sz w:val="24"/>
          <w:szCs w:val="24"/>
          <w:lang w:eastAsia="es-BO"/>
        </w:rPr>
        <w:t>), un sistema alternativo de compensación y liquidación en yuanes que agiliza las transacciones financieras globales al margen de Washington.</w:t>
      </w:r>
    </w:p>
    <w:p w14:paraId="0EB7E2F5" w14:textId="77777777" w:rsidR="00D444BE" w:rsidRPr="00205686" w:rsidRDefault="00D444BE" w:rsidP="00D444BE">
      <w:bookmarkStart w:id="9" w:name="_Toc241517513"/>
      <w:r w:rsidRPr="00205686">
        <w:t>Implicaciones Geopolíticas y Desafíos Sistémicos</w:t>
      </w:r>
      <w:bookmarkEnd w:id="9"/>
    </w:p>
    <w:p w14:paraId="3F8A8A66" w14:textId="77777777" w:rsidR="00D444BE" w:rsidRPr="00205686" w:rsidRDefault="00D444BE" w:rsidP="00D444BE">
      <w:pPr>
        <w:rPr>
          <w:rFonts w:ascii="Arial" w:hAnsi="Arial" w:cs="Arial"/>
        </w:rPr>
      </w:pPr>
      <w:r w:rsidRPr="00205686">
        <w:rPr>
          <w:rFonts w:ascii="Arial" w:hAnsi="Arial" w:cs="Arial"/>
        </w:rPr>
        <w:t>La internacionalización del Renminbi y el auge financiero de China no operan en un vacío institucional; por el contrario, exigen la construcción de una nueva arquitectura de gobernanza global que compite directamente con el orden liberal internacional heredado de la posguerra (Ikenberry, 2018). Desde la perspectiva de las Relaciones Internacionales, las potencias emergentes no solo buscan espacios dentro de las instituciones existentes, sino que crean estructuras paralelas para institucionalizar su poder y redefinir las reglas del juego.</w:t>
      </w:r>
    </w:p>
    <w:p w14:paraId="40EC4A24" w14:textId="77777777" w:rsidR="00D444BE" w:rsidRPr="00205686" w:rsidRDefault="00D444BE" w:rsidP="00D444BE">
      <w:r w:rsidRPr="00205686">
        <w:t>A. La creación de arquitecturas financieras e institucionales alternativas</w:t>
      </w:r>
    </w:p>
    <w:p w14:paraId="43E50DCF" w14:textId="77777777" w:rsidR="00D444BE" w:rsidRPr="00205686" w:rsidRDefault="00D444BE" w:rsidP="00D444BE">
      <w:pPr>
        <w:rPr>
          <w:rFonts w:ascii="Arial" w:hAnsi="Arial" w:cs="Arial"/>
        </w:rPr>
      </w:pPr>
      <w:r w:rsidRPr="00205686">
        <w:rPr>
          <w:rFonts w:ascii="Arial" w:hAnsi="Arial" w:cs="Arial"/>
        </w:rPr>
        <w:t xml:space="preserve">Durante décadas, el Fondo Monetario Internacional (FMI) y el Banco Mundial ejercieron un monopolio casi absoluto sobre el financiamiento para el desarrollo y el rescate de balanzas de pagos, imponiendo a los países periféricos las estrictas condicionalidades fiscales del denominado </w:t>
      </w:r>
      <w:r w:rsidRPr="00205686">
        <w:rPr>
          <w:rFonts w:ascii="Arial" w:hAnsi="Arial" w:cs="Arial"/>
          <w:i/>
          <w:iCs/>
        </w:rPr>
        <w:t>Consenso de Washington</w:t>
      </w:r>
      <w:r w:rsidRPr="00205686">
        <w:rPr>
          <w:rFonts w:ascii="Arial" w:hAnsi="Arial" w:cs="Arial"/>
        </w:rPr>
        <w:t>. Frente a esto, Pekín ha impulsado el establecimiento de instituciones multilaterales alternativas:</w:t>
      </w:r>
    </w:p>
    <w:p w14:paraId="454FAA05" w14:textId="77777777" w:rsidR="00D444BE" w:rsidRPr="00205686" w:rsidRDefault="00D444BE" w:rsidP="00D444BE">
      <w:pPr>
        <w:rPr>
          <w:rFonts w:ascii="Arial" w:hAnsi="Arial" w:cs="Arial"/>
        </w:rPr>
      </w:pPr>
      <w:r w:rsidRPr="00205686">
        <w:rPr>
          <w:rFonts w:ascii="Arial" w:hAnsi="Arial" w:cs="Arial"/>
        </w:rPr>
        <w:t xml:space="preserve">El Banco Asiático de Inversión en Infraestructura (BAII): Concebido como una alternativa al Banco Mundial, el BAII moviliza capitales masivos para proyectos de conectividad y desarrollo, operando bajo lógicas de gobernanza donde China detenta un peso estratégico </w:t>
      </w:r>
      <w:proofErr w:type="gramStart"/>
      <w:r w:rsidRPr="00205686">
        <w:rPr>
          <w:rFonts w:ascii="Arial" w:hAnsi="Arial" w:cs="Arial"/>
        </w:rPr>
        <w:t>predominante</w:t>
      </w:r>
      <w:proofErr w:type="gramEnd"/>
      <w:r w:rsidRPr="00205686">
        <w:rPr>
          <w:rFonts w:ascii="Arial" w:hAnsi="Arial" w:cs="Arial"/>
        </w:rPr>
        <w:t xml:space="preserve"> pero incorporando a socios de diversos continentes.</w:t>
      </w:r>
    </w:p>
    <w:p w14:paraId="1C3A6A45" w14:textId="77777777" w:rsidR="00D444BE" w:rsidRPr="00205686" w:rsidRDefault="00D444BE" w:rsidP="00D444BE">
      <w:pPr>
        <w:rPr>
          <w:rFonts w:ascii="Arial" w:hAnsi="Arial" w:cs="Arial"/>
        </w:rPr>
      </w:pPr>
      <w:r w:rsidRPr="00205686">
        <w:rPr>
          <w:rFonts w:ascii="Arial" w:hAnsi="Arial" w:cs="Arial"/>
        </w:rPr>
        <w:t>El Nuevo Banco de Desarrollo (NBD) de los BRICS: Una herramienta financiera concebida para proveer liquidez y fondos de desarrollo a las economías emergentes al margen de los condicionamientos occidentales.</w:t>
      </w:r>
    </w:p>
    <w:p w14:paraId="080B947D" w14:textId="77777777" w:rsidR="00D444BE" w:rsidRPr="00205686" w:rsidRDefault="00D444BE" w:rsidP="00D444BE">
      <w:r w:rsidRPr="00205686">
        <w:t xml:space="preserve">B. La Iniciativa de la Franja y la Ruta (Belt and Road </w:t>
      </w:r>
      <w:proofErr w:type="spellStart"/>
      <w:r w:rsidRPr="00205686">
        <w:t>Initiative</w:t>
      </w:r>
      <w:proofErr w:type="spellEnd"/>
      <w:r w:rsidRPr="00205686">
        <w:t xml:space="preserve"> - BRI) como vector monetario</w:t>
      </w:r>
    </w:p>
    <w:p w14:paraId="3F4C3476" w14:textId="77777777" w:rsidR="00D444BE" w:rsidRPr="00205686" w:rsidRDefault="00D444BE" w:rsidP="00D444BE">
      <w:pPr>
        <w:rPr>
          <w:rFonts w:ascii="Arial" w:hAnsi="Arial" w:cs="Arial"/>
        </w:rPr>
      </w:pPr>
      <w:r w:rsidRPr="00205686">
        <w:rPr>
          <w:rFonts w:ascii="Arial" w:hAnsi="Arial" w:cs="Arial"/>
        </w:rPr>
        <w:t>La BRI (</w:t>
      </w:r>
      <w:r w:rsidRPr="00205686">
        <w:rPr>
          <w:rFonts w:ascii="Arial" w:hAnsi="Arial" w:cs="Arial"/>
          <w:i/>
          <w:iCs/>
        </w:rPr>
        <w:t xml:space="preserve">Belt and Road </w:t>
      </w:r>
      <w:proofErr w:type="spellStart"/>
      <w:r w:rsidRPr="00205686">
        <w:rPr>
          <w:rFonts w:ascii="Arial" w:hAnsi="Arial" w:cs="Arial"/>
          <w:i/>
          <w:iCs/>
        </w:rPr>
        <w:t>Initiative</w:t>
      </w:r>
      <w:proofErr w:type="spellEnd"/>
      <w:r w:rsidRPr="00205686">
        <w:rPr>
          <w:rFonts w:ascii="Arial" w:hAnsi="Arial" w:cs="Arial"/>
        </w:rPr>
        <w:t xml:space="preserve">) no es únicamente un megaproyecto comercial y de infraestructura física (carreteras, puertos, ferrocarriles y redes energéticas) que conecta Eurasia, </w:t>
      </w:r>
      <w:r w:rsidRPr="00205686">
        <w:rPr>
          <w:rFonts w:ascii="Arial" w:hAnsi="Arial" w:cs="Arial"/>
        </w:rPr>
        <w:lastRenderedPageBreak/>
        <w:t>África y América Latina; en su dimensión de Economía Política Internacional, funciona como el vehículo principal de expansión y circulación internacional del Renminbi (Arrighi, 2007).</w:t>
      </w:r>
    </w:p>
    <w:p w14:paraId="69855D6B" w14:textId="77777777" w:rsidR="00D444BE" w:rsidRPr="00205686" w:rsidRDefault="00D444BE" w:rsidP="00D444BE">
      <w:pPr>
        <w:rPr>
          <w:rFonts w:ascii="Arial" w:hAnsi="Arial" w:cs="Arial"/>
        </w:rPr>
      </w:pPr>
      <w:r w:rsidRPr="00205686">
        <w:rPr>
          <w:rFonts w:ascii="Arial" w:hAnsi="Arial" w:cs="Arial"/>
        </w:rPr>
        <w:t>Los cuantiosos préstamos otorgados por los bancos de desarrollo estatales chinos (como el Banco de Desarrollo de China y el Banco de Exportación e Importación de China) a los gobiernos socios suelen estar vinculados a la contratación de empresas chinas y, de manera creciente, a esquemas de financiamiento o liquidación respaldados directa o indirectamente en yuanes. Esto genera una densa red de interdependencia asimétrica, donde múltiples Estados del Sur Global anclan sus economías a los ciclos financieros de Pekín, erosionando las esferas tradicionales de influencia geopolítica de Estados Unidos y Europa.</w:t>
      </w:r>
    </w:p>
    <w:p w14:paraId="3C5DC7CF" w14:textId="77777777" w:rsidR="00D444BE" w:rsidRPr="00205686" w:rsidRDefault="00D444BE" w:rsidP="00D444BE">
      <w:pPr>
        <w:rPr>
          <w:rFonts w:ascii="Arial" w:hAnsi="Arial" w:cs="Arial"/>
        </w:rPr>
      </w:pPr>
      <w:r w:rsidRPr="00205686">
        <w:rPr>
          <w:rFonts w:ascii="Arial" w:hAnsi="Arial" w:cs="Arial"/>
        </w:rPr>
        <w:t>Este auge monetario se complementa con la creación de instituciones internacionales alternativas que desafían el sesgo occidental de la gobernanza de posguerra (Ikenberry, 2018):</w:t>
      </w:r>
    </w:p>
    <w:p w14:paraId="74C7264A" w14:textId="77777777" w:rsidR="00D444BE" w:rsidRPr="00205686" w:rsidRDefault="00D444BE" w:rsidP="00D444BE">
      <w:pPr>
        <w:rPr>
          <w:rFonts w:ascii="Arial" w:hAnsi="Arial" w:cs="Arial"/>
        </w:rPr>
      </w:pPr>
      <w:r w:rsidRPr="00205686">
        <w:rPr>
          <w:rFonts w:ascii="Arial" w:hAnsi="Arial" w:cs="Arial"/>
        </w:rPr>
        <w:t>El Banco Asiático de Inversión en Infraestructura (BAII) y el Nuevo Banco de Desarrollo de los BRICS, que otorgan financiamiento sin las condicionalidades fiscales ortodoxas impuestas por el Consenso de Washington.</w:t>
      </w:r>
    </w:p>
    <w:p w14:paraId="1714D9C6" w14:textId="77777777" w:rsidR="00D444BE" w:rsidRPr="00205686" w:rsidRDefault="00D444BE" w:rsidP="00D444BE">
      <w:pPr>
        <w:rPr>
          <w:rFonts w:ascii="Arial" w:hAnsi="Arial" w:cs="Arial"/>
        </w:rPr>
      </w:pPr>
      <w:r w:rsidRPr="00205686">
        <w:rPr>
          <w:rFonts w:ascii="Arial" w:hAnsi="Arial" w:cs="Arial"/>
        </w:rPr>
        <w:t>La Iniciativa de la Franja y la Ruta (</w:t>
      </w:r>
      <w:r w:rsidRPr="00205686">
        <w:rPr>
          <w:rFonts w:ascii="Arial" w:hAnsi="Arial" w:cs="Arial"/>
          <w:i/>
          <w:iCs/>
        </w:rPr>
        <w:t xml:space="preserve">Belt and Road </w:t>
      </w:r>
      <w:proofErr w:type="spellStart"/>
      <w:r w:rsidRPr="00205686">
        <w:rPr>
          <w:rFonts w:ascii="Arial" w:hAnsi="Arial" w:cs="Arial"/>
          <w:i/>
          <w:iCs/>
        </w:rPr>
        <w:t>Initiative</w:t>
      </w:r>
      <w:proofErr w:type="spellEnd"/>
      <w:r w:rsidRPr="00205686">
        <w:rPr>
          <w:rFonts w:ascii="Arial" w:hAnsi="Arial" w:cs="Arial"/>
        </w:rPr>
        <w:t xml:space="preserve"> - BRI): Funciona como el vector geopolítico de penetración económica donde los créditos otorgados por bancos estatales chinos suelen estar anclados a flujos financieros denominados o respaldados indirectamente en su moneda, generando nuevas esferas de interdependencia asimétrica.</w:t>
      </w:r>
    </w:p>
    <w:p w14:paraId="15F34232" w14:textId="77777777" w:rsidR="00D444BE" w:rsidRPr="00205686" w:rsidRDefault="00D444BE" w:rsidP="00D444BE">
      <w:pPr>
        <w:rPr>
          <w:rFonts w:ascii="Arial" w:hAnsi="Arial" w:cs="Arial"/>
        </w:rPr>
      </w:pPr>
      <w:r w:rsidRPr="00205686">
        <w:rPr>
          <w:rFonts w:ascii="Arial" w:hAnsi="Arial" w:cs="Arial"/>
        </w:rPr>
        <w:t xml:space="preserve">Más allá del beneficio que la gestión financiera china ha generado para dos gobiernos argentinos antitéticos, a los que ha ayudado a sobrevivir, y a pesar de los avances de la RPC en la internacionalización de su moneda, después de los embates </w:t>
      </w:r>
      <w:proofErr w:type="spellStart"/>
      <w:r w:rsidRPr="00205686">
        <w:rPr>
          <w:rFonts w:ascii="Arial" w:hAnsi="Arial" w:cs="Arial"/>
        </w:rPr>
        <w:t>anti-chinos</w:t>
      </w:r>
      <w:proofErr w:type="spellEnd"/>
      <w:r w:rsidRPr="00205686">
        <w:rPr>
          <w:rFonts w:ascii="Arial" w:hAnsi="Arial" w:cs="Arial"/>
        </w:rPr>
        <w:t xml:space="preserve"> de Trump de 2018 y 2019, que resultan destructores de la gobernanza, estos logros de civilizada y constructiva cooperación parecen historia antigua. Si nos limitamos a los episodios más recientes de la guerra comercial entre Estados Unidos y China, debemos recordar, </w:t>
      </w:r>
      <w:proofErr w:type="gramStart"/>
      <w:r w:rsidRPr="00205686">
        <w:rPr>
          <w:rFonts w:ascii="Arial" w:hAnsi="Arial" w:cs="Arial"/>
        </w:rPr>
        <w:t>a grosso modo</w:t>
      </w:r>
      <w:proofErr w:type="gramEnd"/>
      <w:r w:rsidRPr="00205686">
        <w:rPr>
          <w:rFonts w:ascii="Arial" w:hAnsi="Arial" w:cs="Arial"/>
        </w:rPr>
        <w:t xml:space="preserve">, que: </w:t>
      </w:r>
    </w:p>
    <w:p w14:paraId="303F33A9" w14:textId="77777777" w:rsidR="00D444BE" w:rsidRPr="00205686" w:rsidRDefault="00D444BE" w:rsidP="00D444BE">
      <w:pPr>
        <w:rPr>
          <w:rFonts w:ascii="Arial" w:hAnsi="Arial" w:cs="Arial"/>
        </w:rPr>
      </w:pPr>
      <w:r w:rsidRPr="00205686">
        <w:rPr>
          <w:rFonts w:ascii="Arial" w:hAnsi="Arial" w:cs="Arial"/>
        </w:rPr>
        <w:t xml:space="preserve">A mediados de marzo de 2018 Washington anunció la imposición de aranceles sobre 1300 categorías de importaciones provenientes de China. </w:t>
      </w:r>
    </w:p>
    <w:p w14:paraId="03AD966B" w14:textId="77777777" w:rsidR="00D444BE" w:rsidRPr="00205686" w:rsidRDefault="00D444BE" w:rsidP="00D444BE">
      <w:pPr>
        <w:rPr>
          <w:rFonts w:ascii="Arial" w:hAnsi="Arial" w:cs="Arial"/>
        </w:rPr>
      </w:pPr>
      <w:r w:rsidRPr="00205686">
        <w:rPr>
          <w:rFonts w:ascii="Arial" w:hAnsi="Arial" w:cs="Arial"/>
        </w:rPr>
        <w:t xml:space="preserve">En junio de ese año la Casa Blanca anunció aranceles del 25% sobre US$ 50 billones americanos de importaciones chinas, agregando que si había represalias de Beijing sobre esos aranceles, Estados Unidos impondría otros aranceles del 10% sobre US$ 200 billones americanos adicionales de importaciones chinas. China reaccionó anunciando sus propias tarifas por valores similares. </w:t>
      </w:r>
    </w:p>
    <w:p w14:paraId="357026F1" w14:textId="77777777" w:rsidR="00D444BE" w:rsidRPr="00205686" w:rsidRDefault="00D444BE" w:rsidP="00D444BE">
      <w:pPr>
        <w:rPr>
          <w:rFonts w:ascii="Arial" w:hAnsi="Arial" w:cs="Arial"/>
        </w:rPr>
      </w:pPr>
      <w:r w:rsidRPr="00205686">
        <w:rPr>
          <w:rFonts w:ascii="Arial" w:hAnsi="Arial" w:cs="Arial"/>
        </w:rPr>
        <w:t xml:space="preserve">Después de marchas y contramarchas, a mediados de mayo de 2019 Trump firmó la orden ejecutiva 13873, que manda restringir las exportaciones de tecnología norteamericana de información y comunicaciones a “adversarios extranjeros”. China entonces respondió con un nuevo aumento de tarifas sobre US$ 60 billones americanos a sus importaciones provenientes de Estados Unidos. </w:t>
      </w:r>
    </w:p>
    <w:p w14:paraId="2A92BB80" w14:textId="77777777" w:rsidR="00D444BE" w:rsidRPr="00205686" w:rsidRDefault="00D444BE" w:rsidP="00D444BE">
      <w:pPr>
        <w:rPr>
          <w:rFonts w:ascii="Arial" w:hAnsi="Arial" w:cs="Arial"/>
        </w:rPr>
      </w:pPr>
      <w:r w:rsidRPr="00205686">
        <w:rPr>
          <w:rFonts w:ascii="Arial" w:hAnsi="Arial" w:cs="Arial"/>
        </w:rPr>
        <w:t xml:space="preserve">Ante las duras pretensiones de Washington, las negociaciones de fines de abril de 2019 se desmoronaron, y poco después, a mediados de mayo, Estados Unidos anunció severas sanciones contra Huawei. A esto le siguió la decisión de la Reserva Federal, insuficiente según el parecer de Trump, de reducir su tasa de interés por un cuarto de punto. La escalada prosiguió cuando, el 1° de agosto, Trump anunció la imposición de un arancel del 10% sobre “los US$ 300 billones americanos restantes” de importaciones de China. </w:t>
      </w:r>
    </w:p>
    <w:p w14:paraId="5A2FF012" w14:textId="77777777" w:rsidR="00D444BE" w:rsidRPr="00205686" w:rsidRDefault="00D444BE" w:rsidP="00D444BE">
      <w:pPr>
        <w:rPr>
          <w:rFonts w:ascii="Arial" w:hAnsi="Arial" w:cs="Arial"/>
        </w:rPr>
      </w:pPr>
      <w:r w:rsidRPr="00205686">
        <w:rPr>
          <w:rFonts w:ascii="Arial" w:hAnsi="Arial" w:cs="Arial"/>
        </w:rPr>
        <w:t xml:space="preserve">Cuatro días más tarde, el 5 de agosto, el Banco Popular de China dejó caer al RENMINBI, que por primera vez en una década descendió por debajo del umbral simbólico de 7 yuan por dólar. </w:t>
      </w:r>
    </w:p>
    <w:p w14:paraId="7C19C2D2" w14:textId="77777777" w:rsidR="00D444BE" w:rsidRPr="00205686" w:rsidRDefault="00D444BE" w:rsidP="00D444BE">
      <w:pPr>
        <w:rPr>
          <w:rFonts w:ascii="Arial" w:hAnsi="Arial" w:cs="Arial"/>
        </w:rPr>
      </w:pPr>
      <w:r w:rsidRPr="00205686">
        <w:rPr>
          <w:rFonts w:ascii="Arial" w:hAnsi="Arial" w:cs="Arial"/>
        </w:rPr>
        <w:t xml:space="preserve">Como represalia, el Departamento del Tesoro de los Estados Unidos declaró a China un “manipulador de divisas”, a la vez que Beijing ordenó que las empresas de propiedad estatal dejen de comprar productos agropecuarios norteamericanos. Según las interpretaciones de numerosos analistas, con esta acusación la guerra comercial pasó a ser también una guerra de divisas. </w:t>
      </w:r>
    </w:p>
    <w:p w14:paraId="0353DBCB" w14:textId="77777777" w:rsidR="00D444BE" w:rsidRPr="00205686" w:rsidRDefault="00D444BE" w:rsidP="00D444BE">
      <w:pPr>
        <w:rPr>
          <w:rFonts w:ascii="Arial" w:hAnsi="Arial" w:cs="Arial"/>
        </w:rPr>
      </w:pPr>
      <w:r w:rsidRPr="00205686">
        <w:rPr>
          <w:rFonts w:ascii="Arial" w:hAnsi="Arial" w:cs="Arial"/>
        </w:rPr>
        <w:lastRenderedPageBreak/>
        <w:t>Junto con la imputación de “manipulación de divisas” que Estados Unidos lanzó contra China, vino la amenaza de tomar aún más represalias comerciales (a través de mayores aranceles) e imponer sanciones institucionales (a través de una demanda frente al FMI).</w:t>
      </w:r>
    </w:p>
    <w:p w14:paraId="4323A4A2" w14:textId="77777777" w:rsidR="00D444BE" w:rsidRPr="00205686" w:rsidRDefault="00D444BE" w:rsidP="00D444BE">
      <w:pPr>
        <w:rPr>
          <w:rFonts w:ascii="Arial" w:hAnsi="Arial" w:cs="Arial"/>
        </w:rPr>
      </w:pPr>
      <w:r w:rsidRPr="00205686">
        <w:rPr>
          <w:rFonts w:ascii="Arial" w:hAnsi="Arial" w:cs="Arial"/>
        </w:rPr>
        <w:t xml:space="preserve">Esta prepotencia denota las desigualdades institucionales del Fondo. Es verdad que el Artículo IV, inciso 3° del Convenio Constitutivo del FMI dice que: </w:t>
      </w:r>
    </w:p>
    <w:p w14:paraId="496FA2EF" w14:textId="77777777" w:rsidR="00D444BE" w:rsidRPr="00205686" w:rsidRDefault="00D444BE" w:rsidP="00D444BE">
      <w:pPr>
        <w:rPr>
          <w:rFonts w:ascii="Arial" w:hAnsi="Arial" w:cs="Arial"/>
        </w:rPr>
      </w:pPr>
      <w:r w:rsidRPr="00205686">
        <w:rPr>
          <w:rFonts w:ascii="Arial" w:hAnsi="Arial" w:cs="Arial"/>
        </w:rPr>
        <w:t xml:space="preserve">“Todo país miembro evitará manipular los tipos de cambio o el sistema monetario internacional para impedir el ajuste de la balanza de pagos u obtener ventajas competitivas desleales frente a otros países miembros.” </w:t>
      </w:r>
    </w:p>
    <w:p w14:paraId="5ACA91A0" w14:textId="77777777" w:rsidR="00D444BE" w:rsidRPr="00205686" w:rsidRDefault="00D444BE" w:rsidP="00D444BE">
      <w:pPr>
        <w:rPr>
          <w:rFonts w:ascii="Arial" w:hAnsi="Arial" w:cs="Arial"/>
        </w:rPr>
      </w:pPr>
      <w:r w:rsidRPr="00205686">
        <w:rPr>
          <w:rFonts w:ascii="Arial" w:hAnsi="Arial" w:cs="Arial"/>
        </w:rPr>
        <w:t xml:space="preserve">Pero lo que la simple lectura de este artículo no nos muestra es que Estados Unidos es el mayor manipulador de divisas de toda la historia del Fondo. Por cierto, entre 1946 y 1971 el FMI supervisó un sistema cambiario de paridades fijas en que el valor de todas las monedas estaba definido en términos de dólares estadounidenses, a la vez que el dólar estaba definido en términos de un patrón oro. Para alterar el valor de una moneda en más del 10% era preciso obtener el consentimiento del Fondo. </w:t>
      </w:r>
    </w:p>
    <w:p w14:paraId="2841890F" w14:textId="77777777" w:rsidR="00D444BE" w:rsidRPr="00205686" w:rsidRDefault="00D444BE" w:rsidP="00D444BE">
      <w:pPr>
        <w:rPr>
          <w:rFonts w:ascii="Arial" w:hAnsi="Arial" w:cs="Arial"/>
        </w:rPr>
      </w:pPr>
      <w:r w:rsidRPr="00205686">
        <w:rPr>
          <w:rFonts w:ascii="Arial" w:hAnsi="Arial" w:cs="Arial"/>
        </w:rPr>
        <w:t xml:space="preserve">Este sistema fue destruido cuando, en 1971, Estados Unidos devaluó el dólar dos veces sin consultar con el Fondo. Fue la mayor manipulación cambiaria de toda la historia posterior a la Segunda Guerra Mundial. Como consecuencia, el Fondo casi se quedó sin estatuto. Recién en 1978 se consiguió enmendar el artículo violado, permitiendo a los miembros elegir cualquier sistema cambiario que quieran, fijo o flotante, siempre que se ajusten a determinadas pautas y no usen el oro como base de sus divisas. En realidad, en las circunstancias de 2019 no hay verdadera manipulación de divisas por parte de China sino todo lo contrario: el Banco Popular de China interrumpió las operaciones habituales que permitían mantener más alto el valor del yuan. En efecto, como dijo Neil Irwin en The New York Times el 6 de agosto: </w:t>
      </w:r>
    </w:p>
    <w:p w14:paraId="7533C76F" w14:textId="77777777" w:rsidR="00D444BE" w:rsidRPr="00205686" w:rsidRDefault="00D444BE" w:rsidP="00D444BE">
      <w:pPr>
        <w:rPr>
          <w:rFonts w:ascii="Arial" w:hAnsi="Arial" w:cs="Arial"/>
        </w:rPr>
      </w:pPr>
      <w:r w:rsidRPr="00205686">
        <w:rPr>
          <w:rFonts w:ascii="Arial" w:hAnsi="Arial" w:cs="Arial"/>
          <w:lang w:val="en-US"/>
        </w:rPr>
        <w:t xml:space="preserve">“While President Trump has often accused China of seizing advantage in global trade by manipulating the value of its currency to keep it lower, the latest developments reflect pretty much the opposite. In fact, a slowing Chinese economy is creating downward pressure on the renminbi — a pressure that China’s government has resisted, through intervention by its central bank and capital controls, to try to keep Chinese citizens from moving money out of the country. On Monday, the Chinese essentially reduced the scale of that intervention and let the value of the yuan fall closer to the level it would reach in an open market.” </w:t>
      </w:r>
      <w:r w:rsidRPr="00205686">
        <w:rPr>
          <w:rFonts w:ascii="Arial" w:hAnsi="Arial" w:cs="Arial"/>
        </w:rPr>
        <w:t>Es decir que, ubicándose en el espíritu de lo que ha sido llamado la “</w:t>
      </w:r>
      <w:proofErr w:type="spellStart"/>
      <w:r w:rsidRPr="00205686">
        <w:rPr>
          <w:rFonts w:ascii="Arial" w:hAnsi="Arial" w:cs="Arial"/>
        </w:rPr>
        <w:t>post-verdad</w:t>
      </w:r>
      <w:proofErr w:type="spellEnd"/>
      <w:r w:rsidRPr="00205686">
        <w:rPr>
          <w:rFonts w:ascii="Arial" w:hAnsi="Arial" w:cs="Arial"/>
        </w:rPr>
        <w:t xml:space="preserve">”, </w:t>
      </w:r>
    </w:p>
    <w:p w14:paraId="5E76D5FF" w14:textId="77777777" w:rsidR="00D444BE" w:rsidRPr="00835B46" w:rsidRDefault="00D444BE" w:rsidP="00D444BE">
      <w:pPr>
        <w:rPr>
          <w:rFonts w:ascii="Arial" w:eastAsia="Times New Roman" w:hAnsi="Arial" w:cs="Arial"/>
          <w:sz w:val="24"/>
          <w:szCs w:val="24"/>
          <w:lang w:eastAsia="es-BO"/>
        </w:rPr>
      </w:pPr>
      <w:r w:rsidRPr="00205686">
        <w:rPr>
          <w:rFonts w:ascii="Arial" w:hAnsi="Arial" w:cs="Arial"/>
        </w:rPr>
        <w:t>Trump pretende confundir la interrupción de una manipulación que le era favorable, con una manipulación ilegal en sentido contrario. Desde esa plataforma, lanza su ira y amenaza con sanciones. Y tiene todas las de ganar porque, como veremos, el FMI es suyo. Las desigualdades, asimetrías e injusticias propias del sistema interestatal contaminan la estructura del FMI de manera descarnada, y la batalla que libra China por superarlas y ganarse el lugar que merece entre los grandes Estados del mundo es ciclópea.</w:t>
      </w:r>
    </w:p>
    <w:p w14:paraId="0FFC8E67" w14:textId="77777777" w:rsidR="00D444BE" w:rsidRPr="00205686" w:rsidRDefault="00D444BE" w:rsidP="00D444BE">
      <w:bookmarkStart w:id="10" w:name="_Toc241517514"/>
      <w:r w:rsidRPr="00205686">
        <w:t>A. La disputa por la hegemonía monetaria y el fin de la "exorbitante ventaja"</w:t>
      </w:r>
      <w:bookmarkEnd w:id="10"/>
    </w:p>
    <w:p w14:paraId="66EFB512"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La internacionalización del renminbi representa un desafío directo a lo que el exministro de finanzas francés Valéry Giscard </w:t>
      </w:r>
      <w:proofErr w:type="spellStart"/>
      <w:r w:rsidRPr="00205686">
        <w:rPr>
          <w:rFonts w:ascii="Arial" w:eastAsia="Times New Roman" w:hAnsi="Arial" w:cs="Arial"/>
          <w:sz w:val="24"/>
          <w:szCs w:val="24"/>
          <w:lang w:eastAsia="es-BO"/>
        </w:rPr>
        <w:t>d'Estaing</w:t>
      </w:r>
      <w:proofErr w:type="spellEnd"/>
      <w:r w:rsidRPr="00205686">
        <w:rPr>
          <w:rFonts w:ascii="Arial" w:eastAsia="Times New Roman" w:hAnsi="Arial" w:cs="Arial"/>
          <w:sz w:val="24"/>
          <w:szCs w:val="24"/>
          <w:lang w:eastAsia="es-BO"/>
        </w:rPr>
        <w:t xml:space="preserve"> denominó la </w:t>
      </w:r>
      <w:r w:rsidRPr="00205686">
        <w:rPr>
          <w:rFonts w:ascii="Arial" w:eastAsia="Times New Roman" w:hAnsi="Arial" w:cs="Arial"/>
          <w:i/>
          <w:iCs/>
          <w:sz w:val="24"/>
          <w:szCs w:val="24"/>
          <w:lang w:eastAsia="es-BO"/>
        </w:rPr>
        <w:t>"exorbitante ventaja"</w:t>
      </w:r>
      <w:r w:rsidRPr="00205686">
        <w:rPr>
          <w:rFonts w:ascii="Arial" w:eastAsia="Times New Roman" w:hAnsi="Arial" w:cs="Arial"/>
          <w:sz w:val="24"/>
          <w:szCs w:val="24"/>
          <w:lang w:eastAsia="es-BO"/>
        </w:rPr>
        <w:t xml:space="preserve"> de Estados Unidos. Aunque el dólar mantiene el monopolio predominante en las reservas internacionales y el endeudamiento global, el avance del yuan erosiona lentamente este monopolio, fragmentando el sistema financiero en bloques monetarios competitivos.</w:t>
      </w:r>
    </w:p>
    <w:p w14:paraId="15026176" w14:textId="77777777" w:rsidR="00D444BE" w:rsidRPr="00205686" w:rsidRDefault="00D444BE" w:rsidP="00D444BE">
      <w:pPr>
        <w:rPr>
          <w:rFonts w:ascii="Arial" w:hAnsi="Arial" w:cs="Arial"/>
          <w:sz w:val="24"/>
          <w:szCs w:val="24"/>
        </w:rPr>
      </w:pPr>
      <w:r w:rsidRPr="00205686">
        <w:rPr>
          <w:rFonts w:ascii="Arial" w:hAnsi="Arial" w:cs="Arial"/>
          <w:sz w:val="24"/>
          <w:szCs w:val="24"/>
        </w:rPr>
        <w:t xml:space="preserve">Por cierto, aún antes de la presente oleada de políticas </w:t>
      </w:r>
      <w:proofErr w:type="spellStart"/>
      <w:r w:rsidRPr="00205686">
        <w:rPr>
          <w:rFonts w:ascii="Arial" w:hAnsi="Arial" w:cs="Arial"/>
          <w:sz w:val="24"/>
          <w:szCs w:val="24"/>
        </w:rPr>
        <w:t>anti-chinas</w:t>
      </w:r>
      <w:proofErr w:type="spellEnd"/>
      <w:r w:rsidRPr="00205686">
        <w:rPr>
          <w:rFonts w:ascii="Arial" w:hAnsi="Arial" w:cs="Arial"/>
          <w:sz w:val="24"/>
          <w:szCs w:val="24"/>
        </w:rPr>
        <w:t xml:space="preserve">, que es en gran medida atribuible al cuasi dictador Trump, la batalla estaba lejos de estar ganada. No porque la moneda china fuera finalmente incorporada a la canasta de monedas, en 2016, se eliminó en el FMI la enorme injusticia vigente en la distribución de las cuotas y el poder de voto entre las grandes economías del mundo. Las turbulencias actuales en torno de </w:t>
      </w:r>
      <w:r w:rsidRPr="00205686">
        <w:rPr>
          <w:rFonts w:ascii="Arial" w:hAnsi="Arial" w:cs="Arial"/>
          <w:sz w:val="24"/>
          <w:szCs w:val="24"/>
        </w:rPr>
        <w:lastRenderedPageBreak/>
        <w:t xml:space="preserve">China generadas por la política de Washington tan solo acentúan un sistema de subordinaciones institucionales que forma parte de la estructura del Fondo desde su fundación en 1944. Con estas palabras no pretendo denunciar sino tan solo diagnosticar una dimensión importante de la estructura de poder del sistema interestatal. </w:t>
      </w:r>
    </w:p>
    <w:p w14:paraId="1761B141" w14:textId="77777777" w:rsidR="00D444BE" w:rsidRPr="00205686" w:rsidRDefault="00D444BE" w:rsidP="00D444BE">
      <w:pPr>
        <w:rPr>
          <w:rFonts w:ascii="Arial" w:eastAsia="Times New Roman" w:hAnsi="Arial" w:cs="Arial"/>
          <w:sz w:val="24"/>
          <w:szCs w:val="24"/>
          <w:lang w:eastAsia="es-BO"/>
        </w:rPr>
      </w:pPr>
      <w:r w:rsidRPr="00205686">
        <w:rPr>
          <w:rFonts w:ascii="Arial" w:hAnsi="Arial" w:cs="Arial"/>
          <w:sz w:val="24"/>
          <w:szCs w:val="24"/>
        </w:rPr>
        <w:t xml:space="preserve">Para comprender lo que acabo de enunciar hay que recordar que, en principio, la distribución de las cuotas y del poder de voto de los países miembros del FMI debe ser aproximadamente proporcional a su participación en la economía mundial. Pero este precepto está lejos de cumplirse. Como se sabe, el FMI es una institución basada en un sistema de cuotas cuya unidad de cuenta son los Derechos Especiales de Giro (Special </w:t>
      </w:r>
      <w:proofErr w:type="spellStart"/>
      <w:r w:rsidRPr="00205686">
        <w:rPr>
          <w:rFonts w:ascii="Arial" w:hAnsi="Arial" w:cs="Arial"/>
          <w:sz w:val="24"/>
          <w:szCs w:val="24"/>
        </w:rPr>
        <w:t>Drawing</w:t>
      </w:r>
      <w:proofErr w:type="spellEnd"/>
      <w:r w:rsidRPr="00205686">
        <w:rPr>
          <w:rFonts w:ascii="Arial" w:hAnsi="Arial" w:cs="Arial"/>
          <w:sz w:val="24"/>
          <w:szCs w:val="24"/>
        </w:rPr>
        <w:t xml:space="preserve"> </w:t>
      </w:r>
      <w:proofErr w:type="spellStart"/>
      <w:r w:rsidRPr="00205686">
        <w:rPr>
          <w:rFonts w:ascii="Arial" w:hAnsi="Arial" w:cs="Arial"/>
          <w:sz w:val="24"/>
          <w:szCs w:val="24"/>
        </w:rPr>
        <w:t>Rights</w:t>
      </w:r>
      <w:proofErr w:type="spellEnd"/>
      <w:r w:rsidRPr="00205686">
        <w:rPr>
          <w:rFonts w:ascii="Arial" w:hAnsi="Arial" w:cs="Arial"/>
          <w:sz w:val="24"/>
          <w:szCs w:val="24"/>
        </w:rPr>
        <w:t>). Cada miembro le paga al Fondo lo que corresponde según su cuota, y el poder de voto (desigual) de cada Estado se calcula en función de las cuotas correspondientes a cada uno.</w:t>
      </w:r>
    </w:p>
    <w:p w14:paraId="19D9C5BC" w14:textId="77777777" w:rsidR="00D444BE" w:rsidRPr="00205686" w:rsidRDefault="00D444BE" w:rsidP="00D444BE">
      <w:bookmarkStart w:id="11" w:name="_Toc241517515"/>
      <w:r w:rsidRPr="00205686">
        <w:t>B. El rol de los organismos internacionales y arquitecturas paralelas</w:t>
      </w:r>
      <w:bookmarkEnd w:id="11"/>
    </w:p>
    <w:p w14:paraId="52837CD6"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Ante las limitaciones y el sesgo occidental de instituciones tradicionales como el Fondo Monetario Internacional (FMI) y el Banco Mundial, China ha impulsado la creación de nuevas estructuras de gobernanza global:</w:t>
      </w:r>
    </w:p>
    <w:p w14:paraId="1958F8C8"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El Banco Asiático de Inversión en Infraestructura (BAII).</w:t>
      </w:r>
    </w:p>
    <w:p w14:paraId="054CDEBC"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El Nuevo Banco de Desarrollo (NBD) del bloque de los BRICS.</w:t>
      </w:r>
    </w:p>
    <w:p w14:paraId="7109901C" w14:textId="77777777" w:rsidR="00D444BE" w:rsidRPr="007016C0"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La Iniciativa de la Franja y la Ruta (</w:t>
      </w:r>
      <w:r w:rsidRPr="00205686">
        <w:rPr>
          <w:rFonts w:ascii="Arial" w:eastAsia="Times New Roman" w:hAnsi="Arial" w:cs="Arial"/>
          <w:i/>
          <w:iCs/>
          <w:sz w:val="24"/>
          <w:szCs w:val="24"/>
          <w:lang w:eastAsia="es-BO"/>
        </w:rPr>
        <w:t xml:space="preserve">Belt and Road </w:t>
      </w:r>
      <w:proofErr w:type="spellStart"/>
      <w:r w:rsidRPr="00205686">
        <w:rPr>
          <w:rFonts w:ascii="Arial" w:eastAsia="Times New Roman" w:hAnsi="Arial" w:cs="Arial"/>
          <w:i/>
          <w:iCs/>
          <w:sz w:val="24"/>
          <w:szCs w:val="24"/>
          <w:lang w:eastAsia="es-BO"/>
        </w:rPr>
        <w:t>Initiative</w:t>
      </w:r>
      <w:proofErr w:type="spellEnd"/>
      <w:r w:rsidRPr="00205686">
        <w:rPr>
          <w:rFonts w:ascii="Arial" w:eastAsia="Times New Roman" w:hAnsi="Arial" w:cs="Arial"/>
          <w:sz w:val="24"/>
          <w:szCs w:val="24"/>
          <w:lang w:eastAsia="es-BO"/>
        </w:rPr>
        <w:t xml:space="preserve"> - BRI), que actúa como el vehículo principal para canalizar préstamos denominados en yuanes destinados a proyectos de infraestructura masiva en Eurasia, África y América Latina.</w:t>
      </w:r>
    </w:p>
    <w:p w14:paraId="16EA7CC2" w14:textId="77777777" w:rsidR="00D444BE" w:rsidRPr="00205686" w:rsidRDefault="00D444BE" w:rsidP="00D444BE">
      <w:pPr>
        <w:rPr>
          <w:rFonts w:ascii="Arial" w:hAnsi="Arial" w:cs="Arial"/>
          <w:sz w:val="24"/>
          <w:szCs w:val="24"/>
        </w:rPr>
      </w:pPr>
      <w:r w:rsidRPr="00205686">
        <w:rPr>
          <w:rFonts w:ascii="Arial" w:hAnsi="Arial" w:cs="Arial"/>
          <w:sz w:val="24"/>
          <w:szCs w:val="24"/>
        </w:rPr>
        <w:t xml:space="preserve">Así </w:t>
      </w:r>
      <w:proofErr w:type="gramStart"/>
      <w:r w:rsidRPr="00205686">
        <w:rPr>
          <w:rFonts w:ascii="Arial" w:hAnsi="Arial" w:cs="Arial"/>
          <w:sz w:val="24"/>
          <w:szCs w:val="24"/>
        </w:rPr>
        <w:t>que</w:t>
      </w:r>
      <w:proofErr w:type="gramEnd"/>
      <w:r w:rsidRPr="00205686">
        <w:rPr>
          <w:rFonts w:ascii="Arial" w:hAnsi="Arial" w:cs="Arial"/>
          <w:sz w:val="24"/>
          <w:szCs w:val="24"/>
        </w:rPr>
        <w:t xml:space="preserve"> aunque China quisiera pagar lo necesario para equiparar sus cuotas a las de Estados Unidos, y llegar así a ser su igual en el Fondo en términos de su poder de voto, no lo podría hacer sin el apoyo del 85% de ese poder de voto, una mayoría que, más que cualificada, es superlativa. Como sabemos, las participaciones de Estados Unidos, China y la Unión Europea en la economía mundial son más o menos equivalentes. </w:t>
      </w:r>
    </w:p>
    <w:p w14:paraId="3CC0D83F" w14:textId="77777777" w:rsidR="00D444BE" w:rsidRPr="00205686" w:rsidRDefault="00D444BE" w:rsidP="00D444BE">
      <w:pPr>
        <w:rPr>
          <w:rFonts w:ascii="Arial" w:hAnsi="Arial" w:cs="Arial"/>
          <w:sz w:val="24"/>
          <w:szCs w:val="24"/>
        </w:rPr>
      </w:pPr>
      <w:r w:rsidRPr="00205686">
        <w:rPr>
          <w:rFonts w:ascii="Arial" w:hAnsi="Arial" w:cs="Arial"/>
          <w:sz w:val="24"/>
          <w:szCs w:val="24"/>
        </w:rPr>
        <w:t xml:space="preserve">En términos nominales el orden de los PBI es (1) Estados Unidos, (2) la Unión Europea y (3) la RPC, a la vez que, según la paridad del poder de compra, el orden de los PBI es (1) China, (2) la Unión Europea y (3) Estados Unidos. Pero no obstante esta igualdad en términos del ingreso generado por los tres </w:t>
      </w:r>
      <w:proofErr w:type="gramStart"/>
      <w:r w:rsidRPr="00205686">
        <w:rPr>
          <w:rFonts w:ascii="Arial" w:hAnsi="Arial" w:cs="Arial"/>
          <w:sz w:val="24"/>
          <w:szCs w:val="24"/>
        </w:rPr>
        <w:t>grandes,</w:t>
      </w:r>
      <w:proofErr w:type="gramEnd"/>
      <w:r w:rsidRPr="00205686">
        <w:rPr>
          <w:rFonts w:ascii="Arial" w:hAnsi="Arial" w:cs="Arial"/>
          <w:sz w:val="24"/>
          <w:szCs w:val="24"/>
        </w:rPr>
        <w:t xml:space="preserve"> existe una gran inequidad en el poder de voto que se les reconoce en el FMI. Mientras China representa el 6,09% del poder de voto total en el FMI, Estados Unidos representa el 16,52%, a la vez que la suma del poder de voto de los países de la Unión Europea representa alrededor de un 28% del total. Si tomamos los miembros más grandes de la UE, esto es Alemania, Francia, Reino Unido, Italia, España y Holanda, cuyos PBI sumados son muy inferiores al de la RPC, estos representan más del 20% del poder de voto total, lo que es una tremenda desproporción. </w:t>
      </w:r>
    </w:p>
    <w:p w14:paraId="4D34C473" w14:textId="77777777" w:rsidR="00D444BE" w:rsidRPr="007016C0" w:rsidRDefault="00D444BE" w:rsidP="00D444BE">
      <w:pPr>
        <w:rPr>
          <w:rFonts w:ascii="Arial" w:eastAsia="Times New Roman" w:hAnsi="Arial" w:cs="Arial"/>
          <w:sz w:val="24"/>
          <w:szCs w:val="24"/>
          <w:lang w:eastAsia="es-BO"/>
        </w:rPr>
      </w:pPr>
      <w:r w:rsidRPr="00205686">
        <w:rPr>
          <w:rFonts w:ascii="Arial" w:hAnsi="Arial" w:cs="Arial"/>
          <w:sz w:val="24"/>
          <w:szCs w:val="24"/>
        </w:rPr>
        <w:t xml:space="preserve">Hasta Japón, con un 6,15% del voto total, tiene más poder de voto que China en el FMI. Así, el Fondo es una institución dominada férreamente por Occidente y sus aliados. El poder de voto de China en el FMI no puede aumentar si los países de la alianza occidental no están dispuestos a darle un mayor protagonismo. No importa cuánto crezca China, ni cuánto mayor que la economía norteamericana llegue a ser eventualmente China, en el FMI la RPC sólo tendrá el lugar que le asigne Occidente. Más aún, aunque la alianza occidental se rompiera, el 16,52% del poder de voto representado por Estados Unidos sería suficiente para que nadie pueda alcanzar el consenso del 85% si es que Washington se opone a alguna propuesta. Lo dicho nos permite construir un índice para </w:t>
      </w:r>
      <w:r w:rsidRPr="00205686">
        <w:rPr>
          <w:rFonts w:ascii="Arial" w:hAnsi="Arial" w:cs="Arial"/>
          <w:sz w:val="24"/>
          <w:szCs w:val="24"/>
        </w:rPr>
        <w:lastRenderedPageBreak/>
        <w:t xml:space="preserve">medir la subordinación institucional de los diversos Estados miembros en el seno del FMI. Basta con dividir el porcentaje del poder de voto que la Junta de Gobernadores adjudica a un país, por el PBI de ese país. Cuanto más alto sea el cociente, menor será la subordinación institucional. Cuanto más bajo, mayor. Como se puede ver en la tabla, el índice correspondiente a la RPC, resultante de dividir su 6,09% del voto total por sus US$ 23,21 trillones americanos de PBI, es escandalosamente bajo, lo que significa que, institucionalmente, China está muy subordinada en el Fondo. </w:t>
      </w:r>
    </w:p>
    <w:p w14:paraId="7C614844" w14:textId="77777777" w:rsidR="00D444BE" w:rsidRPr="007016C0" w:rsidRDefault="00D444BE" w:rsidP="00D444BE">
      <w:pPr>
        <w:rPr>
          <w:rFonts w:ascii="Arial" w:eastAsia="Times New Roman" w:hAnsi="Arial"/>
          <w:sz w:val="24"/>
          <w:szCs w:val="36"/>
          <w:lang w:eastAsia="es-BO"/>
        </w:rPr>
      </w:pPr>
      <w:bookmarkStart w:id="12" w:name="_Toc241517516"/>
      <w:r w:rsidRPr="00205686">
        <w:t xml:space="preserve">C. Contradicciones y límites estructurales ("El Dilema de </w:t>
      </w:r>
      <w:proofErr w:type="spellStart"/>
      <w:r w:rsidRPr="00205686">
        <w:t>Triffin</w:t>
      </w:r>
      <w:proofErr w:type="spellEnd"/>
      <w:r w:rsidRPr="00205686">
        <w:t>")</w:t>
      </w:r>
      <w:bookmarkEnd w:id="12"/>
    </w:p>
    <w:p w14:paraId="3B1E4666"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A pesar de su avance, el renminbi enfrenta barreras estructurales significativas para convertirse en la moneda hegemónica global:</w:t>
      </w:r>
    </w:p>
    <w:p w14:paraId="137F8DE6"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El control de capitales: Para mantener la estabilidad macroeconómica y evitar fugas masivas de capital, el gobierno chino mantiene un férreo control sobre su cuenta de capitales y la convertibilidad de su moneda. Los inversores internacionales suelen desconfiar de divisas cuyas reglas pueden cambiar por decreto estatal.</w:t>
      </w:r>
    </w:p>
    <w:p w14:paraId="1F73780A" w14:textId="77777777" w:rsidR="00D444BE" w:rsidRPr="00205686" w:rsidRDefault="00D444BE" w:rsidP="00D444BE">
      <w:pPr>
        <w:rPr>
          <w:rFonts w:ascii="Arial" w:eastAsia="Times New Roman" w:hAnsi="Arial" w:cs="Arial"/>
          <w:sz w:val="24"/>
          <w:szCs w:val="24"/>
          <w:lang w:eastAsia="es-BO"/>
        </w:rPr>
      </w:pPr>
      <w:r w:rsidRPr="00205686">
        <w:rPr>
          <w:rFonts w:ascii="Arial" w:eastAsia="Times New Roman" w:hAnsi="Arial" w:cs="Arial"/>
          <w:sz w:val="24"/>
          <w:szCs w:val="24"/>
          <w:lang w:eastAsia="es-BO"/>
        </w:rPr>
        <w:t xml:space="preserve">El modelo de superávit: El </w:t>
      </w:r>
      <w:r w:rsidRPr="00205686">
        <w:rPr>
          <w:rFonts w:ascii="Arial" w:eastAsia="Times New Roman" w:hAnsi="Arial" w:cs="Arial"/>
          <w:i/>
          <w:iCs/>
          <w:sz w:val="24"/>
          <w:szCs w:val="24"/>
          <w:lang w:eastAsia="es-BO"/>
        </w:rPr>
        <w:t xml:space="preserve">Dilema de </w:t>
      </w:r>
      <w:proofErr w:type="spellStart"/>
      <w:r w:rsidRPr="00205686">
        <w:rPr>
          <w:rFonts w:ascii="Arial" w:eastAsia="Times New Roman" w:hAnsi="Arial" w:cs="Arial"/>
          <w:i/>
          <w:iCs/>
          <w:sz w:val="24"/>
          <w:szCs w:val="24"/>
          <w:lang w:eastAsia="es-BO"/>
        </w:rPr>
        <w:t>Triffin</w:t>
      </w:r>
      <w:proofErr w:type="spellEnd"/>
      <w:r w:rsidRPr="00205686">
        <w:rPr>
          <w:rFonts w:ascii="Arial" w:eastAsia="Times New Roman" w:hAnsi="Arial" w:cs="Arial"/>
          <w:sz w:val="24"/>
          <w:szCs w:val="24"/>
          <w:lang w:eastAsia="es-BO"/>
        </w:rPr>
        <w:t xml:space="preserve"> sugiere que una potencia emisora de moneda de reserva debe incurrir en déficits comerciales crónicos para proveer liquidez al mundo. No obstante, el modelo económico chino se sustenta históricamente en superávits comerciales orientados a la exportación, lo que limita la libre circulación global masiva de yuanes.</w:t>
      </w:r>
    </w:p>
    <w:p w14:paraId="2BD0D60D" w14:textId="77777777" w:rsidR="00D444BE" w:rsidRPr="00205686" w:rsidRDefault="00D444BE" w:rsidP="00D444BE">
      <w:pPr>
        <w:rPr>
          <w:rFonts w:ascii="Arial" w:hAnsi="Arial" w:cs="Arial"/>
        </w:rPr>
      </w:pPr>
      <w:r w:rsidRPr="00205686">
        <w:rPr>
          <w:rFonts w:ascii="Arial" w:hAnsi="Arial" w:cs="Arial"/>
        </w:rPr>
        <w:t>La consolidación del RENMINBI como moneda de reserva internacional global enfrenta rigurosas barreras estructurales (Prasad, 2017):</w:t>
      </w:r>
    </w:p>
    <w:p w14:paraId="05B06FF7" w14:textId="77777777" w:rsidR="00D444BE" w:rsidRPr="00205686" w:rsidRDefault="00D444BE" w:rsidP="00D444BE">
      <w:pPr>
        <w:rPr>
          <w:rFonts w:ascii="Arial" w:hAnsi="Arial" w:cs="Arial"/>
        </w:rPr>
      </w:pPr>
      <w:r w:rsidRPr="00205686">
        <w:rPr>
          <w:rFonts w:ascii="Arial" w:hAnsi="Arial" w:cs="Arial"/>
        </w:rPr>
        <w:t>El control de capitales y la convertibilidad: Para resguardar su estabilidad financiera interna frente a la especulación, el gobierno chino mantiene férreos controles sobre la cuenta de capitales. Los mercados internacionales exigen plena convertibilidad y seguridad jurídica institucional, atributos que entran en tensión con el control político centralizado de Pekín.</w:t>
      </w:r>
    </w:p>
    <w:p w14:paraId="5CC415E5" w14:textId="77777777" w:rsidR="00D444BE" w:rsidRPr="00205686" w:rsidRDefault="00D444BE" w:rsidP="00D444BE">
      <w:pPr>
        <w:rPr>
          <w:rFonts w:ascii="Arial" w:hAnsi="Arial" w:cs="Arial"/>
        </w:rPr>
      </w:pPr>
      <w:r w:rsidRPr="00205686">
        <w:rPr>
          <w:rFonts w:ascii="Arial" w:hAnsi="Arial" w:cs="Arial"/>
        </w:rPr>
        <w:t xml:space="preserve">El dilema de </w:t>
      </w:r>
      <w:proofErr w:type="spellStart"/>
      <w:r w:rsidRPr="00205686">
        <w:rPr>
          <w:rFonts w:ascii="Arial" w:hAnsi="Arial" w:cs="Arial"/>
        </w:rPr>
        <w:t>Triffin</w:t>
      </w:r>
      <w:proofErr w:type="spellEnd"/>
      <w:r w:rsidRPr="00205686">
        <w:rPr>
          <w:rFonts w:ascii="Arial" w:hAnsi="Arial" w:cs="Arial"/>
        </w:rPr>
        <w:t>: Una divisa de reserva global exige que el país emisor mantenga déficits comerciales crónicos para abastecer de liquidez al resto del planeta. No obstante, el modelo macroeconómico chino se fundamenta estructuralmente en superávits comerciales orientados a la exportación manufacturera.</w:t>
      </w:r>
    </w:p>
    <w:p w14:paraId="6988D0C0" w14:textId="77777777" w:rsidR="00D444BE" w:rsidRPr="00205686" w:rsidRDefault="00D444BE" w:rsidP="00D444BE">
      <w:pPr>
        <w:rPr>
          <w:rFonts w:ascii="Arial" w:hAnsi="Arial" w:cs="Arial"/>
        </w:rPr>
      </w:pPr>
      <w:r w:rsidRPr="00205686">
        <w:rPr>
          <w:rFonts w:ascii="Arial" w:hAnsi="Arial" w:cs="Arial"/>
        </w:rPr>
        <w:t>A pesar de la magnitud de la estrategia china y del avance sostenido del yuan, la conversión del Renminbi en una moneda de reserva verdaderamente global —capaz de desplazar o competir en pie de igualdad absoluta con el dólar estadounidense— enfrenta rigurosas barreras y contradicciones estructurales inherentes al propio modelo político y económico de la República Popular China (Prasad, 2017).</w:t>
      </w:r>
    </w:p>
    <w:p w14:paraId="40BD386E" w14:textId="77777777" w:rsidR="00D444BE" w:rsidRPr="00205686" w:rsidRDefault="00D444BE" w:rsidP="00D444BE">
      <w:r w:rsidRPr="00205686">
        <w:t>A. El control estatal de la cuenta de capitales y la convertibilidad</w:t>
      </w:r>
    </w:p>
    <w:p w14:paraId="362AB645" w14:textId="77777777" w:rsidR="00D444BE" w:rsidRPr="00205686" w:rsidRDefault="00D444BE" w:rsidP="00D444BE">
      <w:pPr>
        <w:rPr>
          <w:rFonts w:ascii="Arial" w:hAnsi="Arial" w:cs="Arial"/>
        </w:rPr>
      </w:pPr>
      <w:r w:rsidRPr="00205686">
        <w:rPr>
          <w:rFonts w:ascii="Arial" w:hAnsi="Arial" w:cs="Arial"/>
        </w:rPr>
        <w:t>La condición sine qua non para que una divisa sea adoptada masivamente por bancos centrales, inversores institucionales y corporaciones multinacionales a nivel global es su plena convertibilidad y la existencia de mercados financieros profundos, líquidos, abiertos y desregulados. Sin embargo, el Estado chino mantiene férreos controles sobre su cuenta de capitales y una fuerte intervención en el mercado cambiario para evitar la fuga masiva de capitales especulativos y garantizar su estabilidad macroeconómica interna.</w:t>
      </w:r>
    </w:p>
    <w:p w14:paraId="1F9F3488" w14:textId="77777777" w:rsidR="00D444BE" w:rsidRPr="00205686" w:rsidRDefault="00D444BE" w:rsidP="00D444BE">
      <w:pPr>
        <w:rPr>
          <w:rFonts w:ascii="Arial" w:hAnsi="Arial" w:cs="Arial"/>
        </w:rPr>
      </w:pPr>
      <w:r w:rsidRPr="00205686">
        <w:rPr>
          <w:rFonts w:ascii="Arial" w:hAnsi="Arial" w:cs="Arial"/>
        </w:rPr>
        <w:t>Desde la perspectiva de los inversores globales, existe una profunda desconfianza institucional: una moneda cuyas reglas, tasas de interés y flujos pueden ser modificados por decreto político del Partido Comunista Chino no ofrece las garantías de predictibilidad jurídica y transparencia que caracterizan a los mercados occidentales (Cohen, 2015).</w:t>
      </w:r>
    </w:p>
    <w:p w14:paraId="39AF197A" w14:textId="77777777" w:rsidR="00D444BE" w:rsidRPr="00205686" w:rsidRDefault="00D444BE" w:rsidP="00D444BE">
      <w:r w:rsidRPr="00205686">
        <w:lastRenderedPageBreak/>
        <w:t xml:space="preserve">B. El Dilema de </w:t>
      </w:r>
      <w:proofErr w:type="spellStart"/>
      <w:r w:rsidRPr="00205686">
        <w:t>Triffin</w:t>
      </w:r>
      <w:proofErr w:type="spellEnd"/>
      <w:r w:rsidRPr="00205686">
        <w:t xml:space="preserve"> y la contradicción del superávit comercial</w:t>
      </w:r>
    </w:p>
    <w:p w14:paraId="0D712F85" w14:textId="77777777" w:rsidR="00D444BE" w:rsidRPr="00205686" w:rsidRDefault="00D444BE" w:rsidP="00D444BE">
      <w:pPr>
        <w:rPr>
          <w:rFonts w:ascii="Arial" w:hAnsi="Arial" w:cs="Arial"/>
        </w:rPr>
      </w:pPr>
      <w:r w:rsidRPr="00205686">
        <w:rPr>
          <w:rFonts w:ascii="Arial" w:hAnsi="Arial" w:cs="Arial"/>
        </w:rPr>
        <w:t xml:space="preserve">Uno de los aportes teóricos más sólidos de la Economía Política Internacional es el denominado Dilema de </w:t>
      </w:r>
      <w:proofErr w:type="spellStart"/>
      <w:r w:rsidRPr="00205686">
        <w:rPr>
          <w:rFonts w:ascii="Arial" w:hAnsi="Arial" w:cs="Arial"/>
        </w:rPr>
        <w:t>Triffin</w:t>
      </w:r>
      <w:proofErr w:type="spellEnd"/>
      <w:r w:rsidRPr="00205686">
        <w:rPr>
          <w:rFonts w:ascii="Arial" w:hAnsi="Arial" w:cs="Arial"/>
        </w:rPr>
        <w:t>, el cual postula que el país emisor de la moneda de reserva global debe incurrir sistemáticamente en déficits comerciales crónicos para suministrar la liquidez monetaria necesaria que demanda el resto del planeta.</w:t>
      </w:r>
    </w:p>
    <w:p w14:paraId="4A38BEC2" w14:textId="77777777" w:rsidR="00D444BE" w:rsidRPr="00205686" w:rsidRDefault="00D444BE" w:rsidP="00D444BE">
      <w:pPr>
        <w:rPr>
          <w:rFonts w:ascii="Arial" w:hAnsi="Arial" w:cs="Arial"/>
        </w:rPr>
      </w:pPr>
      <w:r w:rsidRPr="00205686">
        <w:rPr>
          <w:rFonts w:ascii="Arial" w:hAnsi="Arial" w:cs="Arial"/>
        </w:rPr>
        <w:t>No obstante, el modelo macroeconómico de China se ha fundamentado históricamente en lo opuesto: la acumulación estructural de superávits comerciales masivos impulsados por su sector manufacturero exportador. Si Pekín abriera totalmente sus mercados financieros y permitiera déficits masivos para inundar el mundo de yuanes, pondría en riesgo su propio modelo de crecimiento industrial y estabilidad laboral interna. En consecuencia, el renminbi se encuentra atrapado en una paradoja estructural: quiere ser una moneda global, pero el Estado chino no está dispuesto a renunciar al control soberano de su economía ni a asumir los desequilibrios macroeconómicos que exige la hegemonía monetaria global.</w:t>
      </w:r>
    </w:p>
    <w:p w14:paraId="7DFAF037" w14:textId="77777777" w:rsidR="00D444BE" w:rsidRPr="00205686" w:rsidRDefault="00D444BE" w:rsidP="00D444BE">
      <w:pPr>
        <w:rPr>
          <w:rFonts w:ascii="Arial" w:hAnsi="Arial" w:cs="Arial"/>
        </w:rPr>
      </w:pPr>
      <w:r w:rsidRPr="00205686">
        <w:rPr>
          <w:rFonts w:ascii="Arial" w:hAnsi="Arial" w:cs="Arial"/>
        </w:rPr>
        <w:t xml:space="preserve">a, dando fin a nuestra rigurosa investigación monográfica para la carrera de Ciencias Políticas de la UMSA, a </w:t>
      </w:r>
      <w:proofErr w:type="gramStart"/>
      <w:r w:rsidRPr="00205686">
        <w:rPr>
          <w:rFonts w:ascii="Arial" w:hAnsi="Arial" w:cs="Arial"/>
        </w:rPr>
        <w:t>continuación</w:t>
      </w:r>
      <w:proofErr w:type="gramEnd"/>
      <w:r w:rsidRPr="00205686">
        <w:rPr>
          <w:rFonts w:ascii="Arial" w:hAnsi="Arial" w:cs="Arial"/>
        </w:rPr>
        <w:t xml:space="preserve"> desarrollo los puntos finales exigidos por el rigor académico universitario: las Conclusiones, las Recomendaciones desde la perspectiva de la política exterior y los organismos internacionales, y la Bibliografía completa en formato APA (7.ª edición).</w:t>
      </w:r>
    </w:p>
    <w:p w14:paraId="1EDE62B9" w14:textId="77777777" w:rsidR="00D444BE" w:rsidRPr="00205686" w:rsidRDefault="00D444BE" w:rsidP="00D444BE">
      <w:pPr>
        <w:rPr>
          <w:rFonts w:ascii="Arial" w:hAnsi="Arial" w:cs="Arial"/>
        </w:rPr>
      </w:pPr>
      <w:r w:rsidRPr="00205686">
        <w:rPr>
          <w:rFonts w:ascii="Arial" w:hAnsi="Arial" w:cs="Arial"/>
        </w:rPr>
        <w:t xml:space="preserve">Por cierto, de todos los países cuya moneda es aceptada como parte de la canasta de monedas del FMI, China es de lejos el más subordinado, porque se le reconoce mucho menos poder de voto de lo que su economía vale. Este es tan solo uno de los obstáculos que se interpone entre China y su legítimo objetivo de alcanzar la plena internacionalización del renminbi. Este índice de subordinación institucional es un indicador muy útil de la estructura del orden mundial engendrado por Occidente, y un complemento importante de mi teoría del “realismo periférico”. </w:t>
      </w:r>
    </w:p>
    <w:p w14:paraId="547E06AF" w14:textId="77777777" w:rsidR="00D444BE" w:rsidRDefault="00D444BE" w:rsidP="00D444BE">
      <w:pPr>
        <w:rPr>
          <w:rFonts w:ascii="Arial" w:hAnsi="Arial" w:cs="Arial"/>
        </w:rPr>
      </w:pPr>
      <w:r w:rsidRPr="00205686">
        <w:rPr>
          <w:rFonts w:ascii="Arial" w:hAnsi="Arial" w:cs="Arial"/>
        </w:rPr>
        <w:t xml:space="preserve">De todos los países importantes, China es el más desfavorecido, con un índice de 0,26. Por su parte, los grandes países europeos son los más favorecidos, con índices de subordinación que van del 1,25 en el caso de Alemania al 1,39 en el de Francia. Canadá, el vecino favorito de Estados Unidos, tiene un índice de nivel europeo (1,25). A su vez, aliados importantes de Occidente como Japón (1.13) y Australia (1,07) ostentan índices que, sin llegar a los niveles de favoritismo europeos, son de privilegio. Estados Unidos muestra un índice de subordinación engañosamente alto, de 0,84 (recuérdese que los valores bajos de este indicador representan subordinación alta), pero este hecho encubre una desigualdad descomunal: al poseer un 16,52% del voto en la Junta de Gobernadores, Washington tiene un verdadero poder de veto en la misma, ya que el 85% del voto total necesario para tomar decisiones se puede alcanzar sólo con el aporte de los votos norteamericanos. </w:t>
      </w:r>
    </w:p>
    <w:p w14:paraId="01D33940" w14:textId="77777777" w:rsidR="00D444BE" w:rsidRDefault="00D444BE" w:rsidP="00D444BE">
      <w:pPr>
        <w:rPr>
          <w:rFonts w:ascii="Arial" w:eastAsia="Times New Roman" w:hAnsi="Arial" w:cs="Arial"/>
          <w:sz w:val="24"/>
          <w:szCs w:val="24"/>
          <w:lang w:eastAsia="es-BO"/>
        </w:rPr>
      </w:pPr>
      <w:r>
        <w:rPr>
          <w:rFonts w:ascii="Arial" w:hAnsi="Arial" w:cs="Arial"/>
        </w:rPr>
        <w:br w:type="page"/>
      </w:r>
    </w:p>
    <w:p w14:paraId="1F47FF47" w14:textId="77777777" w:rsidR="00D444BE" w:rsidRPr="00205686" w:rsidRDefault="00D444BE" w:rsidP="00D444BE">
      <w:r w:rsidRPr="00205686">
        <w:lastRenderedPageBreak/>
        <w:t>LA SUBORDINACIÓN INSTITUCIONAL EN EL F.M.I.</w:t>
      </w:r>
    </w:p>
    <w:p w14:paraId="28191506" w14:textId="77777777" w:rsidR="00D444BE" w:rsidRPr="00205686" w:rsidRDefault="00D444BE" w:rsidP="00D444BE">
      <w:pPr>
        <w:rPr>
          <w:rFonts w:ascii="Arial" w:eastAsia="Times New Roman" w:hAnsi="Arial" w:cs="Arial"/>
          <w:sz w:val="24"/>
          <w:szCs w:val="24"/>
          <w:lang w:eastAsia="es-BO"/>
        </w:rPr>
      </w:pPr>
      <w:r w:rsidRPr="00205686">
        <w:rPr>
          <w:rFonts w:ascii="Arial" w:hAnsi="Arial" w:cs="Arial"/>
          <w:noProof/>
          <w:sz w:val="24"/>
          <w:szCs w:val="24"/>
          <w:lang w:val="en-US"/>
        </w:rPr>
        <w:drawing>
          <wp:inline distT="0" distB="0" distL="0" distR="0" wp14:anchorId="4391086B" wp14:editId="2DFCCFCF">
            <wp:extent cx="4991100" cy="6600793"/>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3572" t="11777" r="34030" b="15710"/>
                    <a:stretch/>
                  </pic:blipFill>
                  <pic:spPr bwMode="auto">
                    <a:xfrm>
                      <a:off x="0" y="0"/>
                      <a:ext cx="5017060" cy="6635125"/>
                    </a:xfrm>
                    <a:prstGeom prst="rect">
                      <a:avLst/>
                    </a:prstGeom>
                    <a:ln>
                      <a:noFill/>
                    </a:ln>
                    <a:extLst>
                      <a:ext uri="{53640926-AAD7-44D8-BBD7-CCE9431645EC}">
                        <a14:shadowObscured xmlns:a14="http://schemas.microsoft.com/office/drawing/2010/main"/>
                      </a:ext>
                    </a:extLst>
                  </pic:spPr>
                </pic:pic>
              </a:graphicData>
            </a:graphic>
          </wp:inline>
        </w:drawing>
      </w:r>
    </w:p>
    <w:p w14:paraId="65484392" w14:textId="77777777" w:rsidR="00D444BE" w:rsidRPr="00205686" w:rsidRDefault="00D444BE" w:rsidP="00D444BE">
      <w:pPr>
        <w:rPr>
          <w:rFonts w:ascii="Arial" w:hAnsi="Arial" w:cs="Arial"/>
        </w:rPr>
      </w:pPr>
      <w:r w:rsidRPr="00205686">
        <w:rPr>
          <w:rFonts w:ascii="Arial" w:hAnsi="Arial" w:cs="Arial"/>
        </w:rPr>
        <w:t xml:space="preserve">Como ya he sugerido, si Estados Unidos se opone a una propuesta, estatutariamente ésta no puede avanzar porque sin el aporte de Washington tenemos sólo el 83,5% de los votos. La primacía de Estados Unidos está prescripta en el estatuto mismo del FMI. Un vistazo a los índices de otros países importantes nos permite vislumbrar la estructura de desigualdades y asimetrías que se esconde en la Junta de Gobernadores del Fondo. Corea del Sur posee un índice de subordinación de 0,84, semejante al de su mandamás </w:t>
      </w:r>
      <w:proofErr w:type="gramStart"/>
      <w:r w:rsidRPr="00205686">
        <w:rPr>
          <w:rFonts w:ascii="Arial" w:hAnsi="Arial" w:cs="Arial"/>
        </w:rPr>
        <w:t>norteamericano</w:t>
      </w:r>
      <w:proofErr w:type="gramEnd"/>
      <w:r w:rsidRPr="00205686">
        <w:rPr>
          <w:rFonts w:ascii="Arial" w:hAnsi="Arial" w:cs="Arial"/>
        </w:rPr>
        <w:t xml:space="preserve"> pero sin sus privilegios (su porcentaje de votos es de sólo el 1,73%). A su vez, América latina, “patio trasero” de Estados </w:t>
      </w:r>
      <w:proofErr w:type="gramStart"/>
      <w:r w:rsidRPr="00205686">
        <w:rPr>
          <w:rFonts w:ascii="Arial" w:hAnsi="Arial" w:cs="Arial"/>
        </w:rPr>
        <w:t>Unidos</w:t>
      </w:r>
      <w:proofErr w:type="gramEnd"/>
      <w:r w:rsidRPr="00205686">
        <w:rPr>
          <w:rFonts w:ascii="Arial" w:hAnsi="Arial" w:cs="Arial"/>
        </w:rPr>
        <w:t xml:space="preserve"> pero geoestratégicamente menos relevante que Europa, Japón y Corea, está en un nivel inferior. México (0,73), Argentina (0,72) y Brasil (0,68) son tres buenos ejemplos. Por otra parte, </w:t>
      </w:r>
    </w:p>
    <w:p w14:paraId="20552151" w14:textId="77777777" w:rsidR="00D444BE" w:rsidRPr="00205686" w:rsidRDefault="00D444BE" w:rsidP="00D444BE">
      <w:pPr>
        <w:rPr>
          <w:rFonts w:ascii="Arial" w:hAnsi="Arial" w:cs="Arial"/>
        </w:rPr>
      </w:pPr>
      <w:r w:rsidRPr="00205686">
        <w:rPr>
          <w:rFonts w:ascii="Arial" w:hAnsi="Arial" w:cs="Arial"/>
        </w:rPr>
        <w:t xml:space="preserve">Rusia, en otros tiempos el gran rival de Estados </w:t>
      </w:r>
      <w:proofErr w:type="gramStart"/>
      <w:r w:rsidRPr="00205686">
        <w:rPr>
          <w:rFonts w:ascii="Arial" w:hAnsi="Arial" w:cs="Arial"/>
        </w:rPr>
        <w:t>Unidos,</w:t>
      </w:r>
      <w:proofErr w:type="gramEnd"/>
      <w:r w:rsidRPr="00205686">
        <w:rPr>
          <w:rFonts w:ascii="Arial" w:hAnsi="Arial" w:cs="Arial"/>
        </w:rPr>
        <w:t xml:space="preserve"> está relegada a un índice de subordinación del 0,64. La India está mucho más abajo aún: aporta un PBI de US$ 9,47 trillones americanos, equivalente al 8,07% del PBI mundial, pero se le reconoce sólo el 2,64% del poder de voto total del Fondo, resultando en un índice de subordinación superlativo, de 0,27.</w:t>
      </w:r>
    </w:p>
    <w:p w14:paraId="7CEBDBC4" w14:textId="77777777" w:rsidR="00D444BE" w:rsidRPr="00205686" w:rsidRDefault="00D444BE" w:rsidP="00D444BE">
      <w:pPr>
        <w:rPr>
          <w:rFonts w:ascii="Arial" w:hAnsi="Arial" w:cs="Arial"/>
          <w:sz w:val="24"/>
          <w:szCs w:val="24"/>
        </w:rPr>
      </w:pPr>
      <w:r w:rsidRPr="00205686">
        <w:rPr>
          <w:rFonts w:ascii="Arial" w:hAnsi="Arial" w:cs="Arial"/>
          <w:sz w:val="24"/>
          <w:szCs w:val="24"/>
        </w:rPr>
        <w:lastRenderedPageBreak/>
        <w:t xml:space="preserve">China ha avanzado mucho en el camino de ser reconocida como un país con una moneda respetable que forma parte de una canasta de tan solo cinco divisas. A pesar de ser también monedas respetables, el franco suizo, el dólar canadiense y el dólar australiano no son parte de la canasta de monedas del FMI porque las economías que representan no son suficientemente poderosas. </w:t>
      </w:r>
    </w:p>
    <w:p w14:paraId="7F5AE902" w14:textId="77777777" w:rsidR="00D444BE" w:rsidRPr="00205686" w:rsidRDefault="00D444BE" w:rsidP="00D444BE">
      <w:pPr>
        <w:rPr>
          <w:rFonts w:ascii="Arial" w:hAnsi="Arial" w:cs="Arial"/>
          <w:sz w:val="24"/>
          <w:szCs w:val="24"/>
        </w:rPr>
      </w:pPr>
      <w:r w:rsidRPr="00205686">
        <w:rPr>
          <w:rFonts w:ascii="Arial" w:hAnsi="Arial" w:cs="Arial"/>
          <w:sz w:val="24"/>
          <w:szCs w:val="24"/>
        </w:rPr>
        <w:t xml:space="preserve">Esto es razonable. Pero a China no se le reconoce, ni remotamente, el peso descomunal de su economía, y con las medidas comerciales arbitrarias de Trump el mundo va camino hacia lo peor. En tiempos en que la inestabilidad engendrada por Washington genera el temor de que una guerra de divisas convierta a la moneda china en la víctima del país financieramente más poderoso de la Tierra, resulta dificultoso continuar avanzando por el camino de la internacionalización del RENMINBI. Por cierto, es difícil para China ganar una guerra de divisas cuando la participación del RENMINBI como porcentaje de las reservas oficiales mundiales es todavía muy baja: en el primer trimestre de 2019, 6739 billones americanos 10 estaban denominados en dólares, mientras apenas 213 billones americanos lo estaban en yuan chinos.9 No obstante, a pesar de las asimetrías, China ha demostrado estar preparada para una pulseada. </w:t>
      </w:r>
    </w:p>
    <w:p w14:paraId="5DA9E6D7" w14:textId="77777777" w:rsidR="00D444BE" w:rsidRPr="00205686" w:rsidRDefault="00D444BE" w:rsidP="00D444BE">
      <w:pPr>
        <w:rPr>
          <w:rFonts w:ascii="Arial" w:hAnsi="Arial" w:cs="Arial"/>
          <w:sz w:val="24"/>
          <w:szCs w:val="24"/>
        </w:rPr>
      </w:pPr>
      <w:r w:rsidRPr="00205686">
        <w:rPr>
          <w:rFonts w:ascii="Arial" w:hAnsi="Arial" w:cs="Arial"/>
          <w:sz w:val="24"/>
          <w:szCs w:val="24"/>
        </w:rPr>
        <w:t xml:space="preserve">Según el editorial oficial del </w:t>
      </w:r>
      <w:proofErr w:type="spellStart"/>
      <w:r w:rsidRPr="00205686">
        <w:rPr>
          <w:rFonts w:ascii="Arial" w:hAnsi="Arial" w:cs="Arial"/>
          <w:sz w:val="24"/>
          <w:szCs w:val="24"/>
        </w:rPr>
        <w:t>Financial</w:t>
      </w:r>
      <w:proofErr w:type="spellEnd"/>
      <w:r w:rsidRPr="00205686">
        <w:rPr>
          <w:rFonts w:ascii="Arial" w:hAnsi="Arial" w:cs="Arial"/>
          <w:sz w:val="24"/>
          <w:szCs w:val="24"/>
        </w:rPr>
        <w:t xml:space="preserve"> Times del 5 de agosto, a pesar de la guerra de aranceles, su superávit comercial global de este año continuó creciendo tanto con Estados Unidos como con otros países razón de más para que Trump continúe con sus agresiones. Por cierto, China no se quiere dejar atropellar y posee herramientas para defenderse. Mientras la amenaza de juegos sucios y traiciones por parte de Washington tenga la vigencia que tiene actualmente, es difícil que prosiga la liberalización de las finanzas chinas. Por ejemplo, es improbable que en estas circunstancias de guerra comercial y quizá también de divisas, los controles chinos sobre las transacciones de la cuenta de capital, criticados por Estados Unidos, disminuyan suficientemente como para satisfacer la sed de Washington. </w:t>
      </w:r>
    </w:p>
    <w:p w14:paraId="5A099C59" w14:textId="77777777" w:rsidR="00D444BE" w:rsidRPr="00205686" w:rsidRDefault="00D444BE" w:rsidP="00D444BE">
      <w:pPr>
        <w:rPr>
          <w:rFonts w:ascii="Arial" w:hAnsi="Arial" w:cs="Arial"/>
          <w:sz w:val="24"/>
          <w:szCs w:val="24"/>
        </w:rPr>
      </w:pPr>
      <w:r w:rsidRPr="00205686">
        <w:rPr>
          <w:rFonts w:ascii="Arial" w:hAnsi="Arial" w:cs="Arial"/>
          <w:sz w:val="24"/>
          <w:szCs w:val="24"/>
        </w:rPr>
        <w:t>Estas reflexiones nos conducen a la conclusión de que los principales problemas financieros del mundo actual no tienen un origen financiero sino geopolítico. Más aún, está claro que las arbitrarias políticas del presidente Donald Trump también son el principal origen del riesgo geopolítico. Y estas agresiones son asimismo el origen del riesgo económico. Según cálculos de Bloomberg Economics, si la administración Trump aplicara tarifas del 25% a los productos chinos que aún quedan por castigar, el producto bruto mundial caería en un 0,5% en los próximos dos años. Si, además, Trump cumpliera con sus amenazas contra México, el PBI mundial caería en un 0,8%.11 Se está generando un espiral de acciones agresivas por la que, por cada medida anti-China de Washington, hay necesariamente una respuesta china, que a su vez engendra una nueva medida de Estados Unidos, retroalimentando peligros de todo género, eventualmente incluso militares.</w:t>
      </w:r>
    </w:p>
    <w:p w14:paraId="3DBFDECB" w14:textId="77777777" w:rsidR="00D444BE" w:rsidRPr="00205686" w:rsidRDefault="00D444BE" w:rsidP="00D444BE">
      <w:pPr>
        <w:rPr>
          <w:rFonts w:ascii="Arial" w:hAnsi="Arial" w:cs="Arial"/>
          <w:sz w:val="24"/>
          <w:szCs w:val="24"/>
        </w:rPr>
      </w:pPr>
      <w:r w:rsidRPr="00205686">
        <w:rPr>
          <w:rFonts w:ascii="Arial" w:hAnsi="Arial" w:cs="Arial"/>
          <w:sz w:val="24"/>
          <w:szCs w:val="24"/>
        </w:rPr>
        <w:t xml:space="preserve">A la vez, la agresión comercial norteamericana sobre el comercio chino conduce necesariamente al aumento del apoyo financiero de Beijing a sectores estratégicos, como la industria de semiconductores. Esta reacción generará más agresiones de Washington, ya que entrará en oposición con la exigencia norteamericana de reducir el apoyo estatal chino a sus industrias. El círculo vicioso puede convertirse en infernal. Las represalias arancelarias chinas y los eventuales boicots de productos norteamericanos chocarán con la exigencia norteamericana de mayores compras chinas de productos norteamericanos para reducir el déficit comercial de Estados Unidos. </w:t>
      </w:r>
    </w:p>
    <w:p w14:paraId="04D2F122" w14:textId="77777777" w:rsidR="00D444BE" w:rsidRDefault="00D444BE" w:rsidP="00D444BE">
      <w:pPr>
        <w:rPr>
          <w:rFonts w:ascii="Arial" w:hAnsi="Arial" w:cs="Arial"/>
          <w:sz w:val="24"/>
          <w:szCs w:val="24"/>
        </w:rPr>
      </w:pPr>
      <w:r w:rsidRPr="00205686">
        <w:rPr>
          <w:rFonts w:ascii="Arial" w:hAnsi="Arial" w:cs="Arial"/>
          <w:sz w:val="24"/>
          <w:szCs w:val="24"/>
        </w:rPr>
        <w:lastRenderedPageBreak/>
        <w:t>Si las cosas siguen por este camino, la cooperación se volverá cada vez más improbable. El mundo se encaminará a un ciclo recesivo y la gobernanza se deteriorará. En mi opinión, una de las pocas fuentes de optimismo está ejemplificada por el amplio apoyo a la gobernanza financiera argentina desplegada por la RPC durante las gestiones de dos gobiernos argentinos de signo opuesto. Es un ejemplo que merece el aplauso internacional. China contribuye a la gobernanza. Estados Unidos la destruye.</w:t>
      </w:r>
    </w:p>
    <w:p w14:paraId="2B796198" w14:textId="77777777" w:rsidR="00D444BE" w:rsidRDefault="00D444BE" w:rsidP="00D444BE">
      <w:pPr>
        <w:rPr>
          <w:rFonts w:ascii="Arial" w:hAnsi="Arial" w:cs="Arial"/>
          <w:sz w:val="24"/>
          <w:szCs w:val="24"/>
        </w:rPr>
      </w:pPr>
      <w:r>
        <w:rPr>
          <w:rFonts w:ascii="Arial" w:hAnsi="Arial" w:cs="Arial"/>
          <w:sz w:val="24"/>
          <w:szCs w:val="24"/>
        </w:rPr>
        <w:br w:type="page"/>
      </w:r>
    </w:p>
    <w:p w14:paraId="6AA1DF8E" w14:textId="77777777" w:rsidR="00D444BE" w:rsidRPr="00205686" w:rsidRDefault="00D444BE" w:rsidP="00D444BE">
      <w:bookmarkStart w:id="13" w:name="_Toc241517517"/>
      <w:r w:rsidRPr="00205686">
        <w:lastRenderedPageBreak/>
        <w:t>Conclusiones</w:t>
      </w:r>
      <w:bookmarkEnd w:id="13"/>
    </w:p>
    <w:p w14:paraId="5F0A3488" w14:textId="77777777" w:rsidR="00D444BE" w:rsidRPr="00205686" w:rsidRDefault="00D444BE" w:rsidP="00D444BE">
      <w:pPr>
        <w:rPr>
          <w:rFonts w:ascii="Arial" w:hAnsi="Arial" w:cs="Arial"/>
        </w:rPr>
      </w:pPr>
      <w:r w:rsidRPr="00205686">
        <w:rPr>
          <w:rFonts w:ascii="Arial" w:hAnsi="Arial" w:cs="Arial"/>
        </w:rPr>
        <w:t xml:space="preserve">La centralidad del poder monetario en la geopolítica contemporánea: El auge de la República Popular China ha trascendido la esfera estrictamente comercial y manufacturera. La internacionalización del Renminbi (RMB) demuestra que la competencia </w:t>
      </w:r>
      <w:proofErr w:type="spellStart"/>
      <w:r w:rsidRPr="00205686">
        <w:rPr>
          <w:rFonts w:ascii="Arial" w:hAnsi="Arial" w:cs="Arial"/>
        </w:rPr>
        <w:t>interimperialista</w:t>
      </w:r>
      <w:proofErr w:type="spellEnd"/>
      <w:r w:rsidRPr="00205686">
        <w:rPr>
          <w:rFonts w:ascii="Arial" w:hAnsi="Arial" w:cs="Arial"/>
        </w:rPr>
        <w:t xml:space="preserve"> y la disputa por la hegemonía global en el siglo XXI se libran fundamentalmente en el terreno de las finanzas internacionales y el control de los flujos monetarios.</w:t>
      </w:r>
    </w:p>
    <w:p w14:paraId="258E3F77" w14:textId="77777777" w:rsidR="00D444BE" w:rsidRPr="00205686" w:rsidRDefault="00D444BE" w:rsidP="00D444BE">
      <w:pPr>
        <w:rPr>
          <w:rFonts w:ascii="Arial" w:hAnsi="Arial" w:cs="Arial"/>
        </w:rPr>
      </w:pPr>
      <w:r w:rsidRPr="00205686">
        <w:rPr>
          <w:rFonts w:ascii="Arial" w:hAnsi="Arial" w:cs="Arial"/>
        </w:rPr>
        <w:t>Estrategia estatal planificada frente a la espontaneidad liberal: A diferencia de los procesos históricos occidentales, el ascenso del yuan no responde a fuerzas ciegas de mercado, sino a una estrategia deliberada, gradual y fuertemente dirigida por el Estado y el Partido Comunista Chino. Mediante la facturación comercial estratégica, los acuerdos de intercambio de divisas (</w:t>
      </w:r>
      <w:r w:rsidRPr="00205686">
        <w:rPr>
          <w:rFonts w:ascii="Arial" w:hAnsi="Arial" w:cs="Arial"/>
          <w:i/>
          <w:iCs/>
        </w:rPr>
        <w:t>swaps</w:t>
      </w:r>
      <w:r w:rsidRPr="00205686">
        <w:rPr>
          <w:rFonts w:ascii="Arial" w:hAnsi="Arial" w:cs="Arial"/>
        </w:rPr>
        <w:t>) y el desarrollo de sistemas de pago independientes como el CIPS, Pekín construye una sólida soberanía financiera para blindarse frente a las sanciones y la coerción de Washington.</w:t>
      </w:r>
    </w:p>
    <w:p w14:paraId="5D258DF2" w14:textId="77777777" w:rsidR="00D444BE" w:rsidRPr="00205686" w:rsidRDefault="00D444BE" w:rsidP="00D444BE">
      <w:pPr>
        <w:rPr>
          <w:rFonts w:ascii="Arial" w:hAnsi="Arial" w:cs="Arial"/>
        </w:rPr>
      </w:pPr>
      <w:r w:rsidRPr="00205686">
        <w:rPr>
          <w:rFonts w:ascii="Arial" w:hAnsi="Arial" w:cs="Arial"/>
        </w:rPr>
        <w:t>La reconfiguración de la gobernanza global: La emergencia de instituciones multilaterales paralelas (como el Banco Asiático de Inversión en Infraestructura y el Nuevo Banco de Desarrollo de los BRICS), respaldadas por la Iniciativa de la Franja y la Ruta, fragmenta la arquitectura financiera tradicional heredada de Bretton Woods. Esto otorga a los países del Sur Global alternativas de financiamiento al margen de la condicionalidad fiscal ortodoxa del FMI.</w:t>
      </w:r>
    </w:p>
    <w:p w14:paraId="04C37554" w14:textId="77777777" w:rsidR="00D444BE" w:rsidRPr="00205686" w:rsidRDefault="00D444BE" w:rsidP="00D444BE">
      <w:pPr>
        <w:rPr>
          <w:rFonts w:ascii="Arial" w:hAnsi="Arial" w:cs="Arial"/>
        </w:rPr>
      </w:pPr>
      <w:r w:rsidRPr="00205686">
        <w:rPr>
          <w:rFonts w:ascii="Arial" w:hAnsi="Arial" w:cs="Arial"/>
        </w:rPr>
        <w:t xml:space="preserve">Límites estructurales y el dilema soberano: Pese a sus avances, la internacionalización del yuan enfrenta barreras estructurales insalvables a corto plazo. Los férreos controles de cuenta de capitales impuestos por Pekín para garantizar su estabilidad interna entran en contradicción con las exigencias globales de libre convertibilidad, transparencia institucional y confianza que demanda una moneda de reserva global hegemónica. Asimismo, el modelo macroeconómico chino de superávit comercial colisiona con el clásico Dilema de </w:t>
      </w:r>
      <w:proofErr w:type="spellStart"/>
      <w:r w:rsidRPr="00205686">
        <w:rPr>
          <w:rFonts w:ascii="Arial" w:hAnsi="Arial" w:cs="Arial"/>
        </w:rPr>
        <w:t>Triffin</w:t>
      </w:r>
      <w:proofErr w:type="spellEnd"/>
      <w:r w:rsidRPr="00205686">
        <w:rPr>
          <w:rFonts w:ascii="Arial" w:hAnsi="Arial" w:cs="Arial"/>
        </w:rPr>
        <w:t>.</w:t>
      </w:r>
    </w:p>
    <w:p w14:paraId="5978C705" w14:textId="77777777" w:rsidR="00D444BE" w:rsidRPr="00205686" w:rsidRDefault="00D444BE" w:rsidP="00D444BE">
      <w:pPr>
        <w:rPr>
          <w:rFonts w:ascii="Arial" w:hAnsi="Arial" w:cs="Arial"/>
        </w:rPr>
      </w:pPr>
      <w:r w:rsidRPr="00205686">
        <w:rPr>
          <w:rFonts w:ascii="Arial" w:hAnsi="Arial" w:cs="Arial"/>
        </w:rPr>
        <w:t>Transición hacia un orden monetario multipolar: Aunque el Renminbi no ha desplazado ni desplazará de forma absoluta al dólar estadounidense en el corto plazo, su consolidación como moneda de referencia regional y del Sur Global es un hecho irreversible. Esto marca el tránsito definitivo hacia un sistema financiero internacional multipolar y fragmentado.</w:t>
      </w:r>
    </w:p>
    <w:p w14:paraId="0977EACE" w14:textId="77777777" w:rsidR="00D444BE" w:rsidRPr="00205686" w:rsidRDefault="00D444BE" w:rsidP="00D444BE">
      <w:pPr>
        <w:rPr>
          <w:rFonts w:ascii="Arial" w:hAnsi="Arial" w:cs="Arial"/>
          <w:sz w:val="24"/>
          <w:szCs w:val="24"/>
        </w:rPr>
      </w:pPr>
      <w:r w:rsidRPr="00205686">
        <w:rPr>
          <w:rFonts w:ascii="Arial" w:eastAsia="Times New Roman" w:hAnsi="Arial" w:cs="Arial"/>
          <w:sz w:val="24"/>
          <w:szCs w:val="24"/>
          <w:lang w:eastAsia="es-BO"/>
        </w:rPr>
        <w:t>El auge de China y la internacionalización del RENMINBI:  no son meros fenómenos económicos neutrales, sino variables centrales de la pugna geopolítica global por el liderazgo del sistema internacional del siglo XXI. Si bien el RENMINBI difícilmente reemplace de manera absoluta al dólar a corto plazo debido a los controles internos de Pekín y a la desconfianza institucional, su consolidación como moneda regional y de comercio para el Sur Global es un hecho irreversible.</w:t>
      </w:r>
      <w:r w:rsidRPr="00205686">
        <w:rPr>
          <w:rFonts w:ascii="Arial" w:hAnsi="Arial" w:cs="Arial"/>
          <w:sz w:val="24"/>
          <w:szCs w:val="24"/>
        </w:rPr>
        <w:t xml:space="preserve"> La emergencia de instituciones paralelas y sistemas de pagos alternativos fragmenta la gobernanza económica mundial, transformando a la moneda y al crédito en el nuevo epicentro de la disputa por el poder global en el siglo XXI.</w:t>
      </w:r>
    </w:p>
    <w:p w14:paraId="58778819" w14:textId="77777777" w:rsidR="00D444BE" w:rsidRDefault="00D444BE" w:rsidP="00D444BE">
      <w:pPr>
        <w:rPr>
          <w:rFonts w:ascii="Arial" w:hAnsi="Arial" w:cs="Arial"/>
          <w:sz w:val="24"/>
          <w:szCs w:val="24"/>
        </w:rPr>
      </w:pPr>
      <w:r w:rsidRPr="00205686">
        <w:rPr>
          <w:rFonts w:ascii="Arial" w:eastAsia="Times New Roman" w:hAnsi="Arial" w:cs="Arial"/>
          <w:sz w:val="24"/>
          <w:szCs w:val="24"/>
          <w:lang w:eastAsia="es-BO"/>
        </w:rPr>
        <w:t xml:space="preserve">La estrategia monetaria china: fragmenta la gobernanza económica internacional, debilitando el orden unipolar de posguerra y acelerando la consolidación de un sistema multipolar en el que las finanzas se han convertido en el nuevo campo de batalla de la política mundial. </w:t>
      </w:r>
      <w:r w:rsidRPr="00205686">
        <w:rPr>
          <w:rFonts w:ascii="Arial" w:hAnsi="Arial" w:cs="Arial"/>
          <w:sz w:val="24"/>
          <w:szCs w:val="24"/>
        </w:rPr>
        <w:t>El auge del RENMINBI es un componente fundamental de la estrategia geopolítica de China para consolidar un orden internacional multipolar y mitigar las vulnerabilidades de la arquitectura financiera unipolar dominada por Estados Unidos. Si bien el yuan aún se encuentra lejos de desplazar de forma absoluta al dólar como principal activo de reserva global debido a los controles estatales y al conservadurismo financiero de Pekín, su consolidación como moneda de referencia regional y del Sur Global es un proceso irreversible.</w:t>
      </w:r>
    </w:p>
    <w:p w14:paraId="7CAD07D0" w14:textId="77777777" w:rsidR="00D444BE" w:rsidRDefault="00D444BE" w:rsidP="00D444BE">
      <w:pPr>
        <w:rPr>
          <w:rFonts w:ascii="Arial" w:hAnsi="Arial" w:cs="Arial"/>
          <w:sz w:val="24"/>
          <w:szCs w:val="24"/>
        </w:rPr>
      </w:pPr>
      <w:r>
        <w:rPr>
          <w:rFonts w:ascii="Arial" w:hAnsi="Arial" w:cs="Arial"/>
          <w:sz w:val="24"/>
          <w:szCs w:val="24"/>
        </w:rPr>
        <w:br w:type="page"/>
      </w:r>
    </w:p>
    <w:p w14:paraId="1511A383" w14:textId="77777777" w:rsidR="00D444BE" w:rsidRPr="00205686" w:rsidRDefault="00D444BE" w:rsidP="00D444BE">
      <w:bookmarkStart w:id="14" w:name="_Toc241517518"/>
      <w:r w:rsidRPr="00205686">
        <w:lastRenderedPageBreak/>
        <w:t>Recomendaciones</w:t>
      </w:r>
      <w:bookmarkEnd w:id="14"/>
    </w:p>
    <w:p w14:paraId="60BA9043" w14:textId="77777777" w:rsidR="00D444BE" w:rsidRPr="00205686" w:rsidRDefault="00D444BE" w:rsidP="00D444BE">
      <w:pPr>
        <w:rPr>
          <w:rFonts w:ascii="Arial" w:hAnsi="Arial" w:cs="Arial"/>
        </w:rPr>
      </w:pPr>
      <w:r w:rsidRPr="00205686">
        <w:rPr>
          <w:rFonts w:ascii="Arial" w:hAnsi="Arial" w:cs="Arial"/>
        </w:rPr>
        <w:t>Profundizar el análisis institucional en los organismos internacionales: Desde la perspectiva de las Ciencias Políticas, se recomienda a las cátedras de Relaciones Internacionales de la UMSA continuar estudiando la evolución de las instituciones financieras paralelas (BRICS y BAII) como objetos de estudio dinámicos que alteran la correlación de fuerzas en la gobernanza global y la toma de decisiones multilaterales.</w:t>
      </w:r>
    </w:p>
    <w:p w14:paraId="703D329A" w14:textId="77777777" w:rsidR="00D444BE" w:rsidRPr="00205686" w:rsidRDefault="00D444BE" w:rsidP="00D444BE">
      <w:pPr>
        <w:rPr>
          <w:rFonts w:ascii="Arial" w:hAnsi="Arial" w:cs="Arial"/>
        </w:rPr>
      </w:pPr>
      <w:r w:rsidRPr="00205686">
        <w:rPr>
          <w:rFonts w:ascii="Arial" w:hAnsi="Arial" w:cs="Arial"/>
        </w:rPr>
        <w:t xml:space="preserve">Monitorear las repercusiones en el Sur Global y América Latina: Es fundamental que futuras investigaciones politológicas analicen el impacto socioeconómico y político de los créditos denominados en yuanes y los acuerdos de </w:t>
      </w:r>
      <w:r w:rsidRPr="00205686">
        <w:rPr>
          <w:rFonts w:ascii="Arial" w:hAnsi="Arial" w:cs="Arial"/>
          <w:i/>
          <w:iCs/>
        </w:rPr>
        <w:t>swaps</w:t>
      </w:r>
      <w:r w:rsidRPr="00205686">
        <w:rPr>
          <w:rFonts w:ascii="Arial" w:hAnsi="Arial" w:cs="Arial"/>
        </w:rPr>
        <w:t xml:space="preserve"> en economías latinoamericanas periféricas, evaluando si estas herramientas configuran nuevas relaciones de dependencia asimétrica o auténticos espacios de autonomía financiera.</w:t>
      </w:r>
    </w:p>
    <w:p w14:paraId="76CB3D18" w14:textId="77777777" w:rsidR="00D444BE" w:rsidRPr="00205686" w:rsidRDefault="00D444BE" w:rsidP="00D444BE">
      <w:pPr>
        <w:rPr>
          <w:rFonts w:ascii="Arial" w:hAnsi="Arial" w:cs="Arial"/>
        </w:rPr>
      </w:pPr>
      <w:r w:rsidRPr="00205686">
        <w:rPr>
          <w:rFonts w:ascii="Arial" w:hAnsi="Arial" w:cs="Arial"/>
        </w:rPr>
        <w:t>Evaluar la resiliencia de la arquitectura occidental frente a la desdolarización: Se sugiere investigar de manera empírica y teórica cómo la fragmentación del sistema de pagos global (vía CIPS frente a SWIFT) altera las capacidades de coerción económica de Estados Unidos y la Unión Europea a través de sanciones financieras unilaterales.</w:t>
      </w:r>
    </w:p>
    <w:p w14:paraId="6DF3CB5C" w14:textId="77777777" w:rsidR="00D444BE" w:rsidRDefault="00D444BE" w:rsidP="00D444BE">
      <w:pPr>
        <w:rPr>
          <w:rFonts w:ascii="Arial" w:eastAsia="Times New Roman" w:hAnsi="Arial" w:cs="Arial"/>
          <w:sz w:val="24"/>
          <w:szCs w:val="24"/>
          <w:lang w:eastAsia="es-BO"/>
        </w:rPr>
      </w:pPr>
      <w:r>
        <w:rPr>
          <w:rFonts w:ascii="Arial" w:hAnsi="Arial" w:cs="Arial"/>
        </w:rPr>
        <w:br w:type="page"/>
      </w:r>
    </w:p>
    <w:p w14:paraId="3CCD7C30" w14:textId="77777777" w:rsidR="00D444BE" w:rsidRPr="00205686" w:rsidRDefault="00D444BE" w:rsidP="00D444BE">
      <w:bookmarkStart w:id="15" w:name="_Toc241517519"/>
      <w:r w:rsidRPr="00205686">
        <w:lastRenderedPageBreak/>
        <w:t>Referencias Bibliográficas</w:t>
      </w:r>
      <w:bookmarkEnd w:id="15"/>
      <w:r w:rsidRPr="00205686">
        <w:t xml:space="preserve"> </w:t>
      </w:r>
    </w:p>
    <w:p w14:paraId="32220957" w14:textId="77777777" w:rsidR="00D444BE" w:rsidRPr="00205686" w:rsidRDefault="00D444BE" w:rsidP="00D444BE">
      <w:pPr>
        <w:rPr>
          <w:rFonts w:ascii="Arial" w:hAnsi="Arial" w:cs="Arial"/>
        </w:rPr>
      </w:pPr>
      <w:r w:rsidRPr="00205686">
        <w:rPr>
          <w:rFonts w:ascii="Arial" w:hAnsi="Arial" w:cs="Arial"/>
          <w:lang w:val="en-US"/>
        </w:rPr>
        <w:t xml:space="preserve">Arrighi, G. (2007). </w:t>
      </w:r>
      <w:r w:rsidRPr="00205686">
        <w:rPr>
          <w:rFonts w:ascii="Arial" w:hAnsi="Arial" w:cs="Arial"/>
          <w:i/>
          <w:iCs/>
          <w:lang w:val="en-US"/>
        </w:rPr>
        <w:t>Adam Smith in Beijing: Lineages of the twenty-first century</w:t>
      </w:r>
      <w:r w:rsidRPr="00205686">
        <w:rPr>
          <w:rFonts w:ascii="Arial" w:hAnsi="Arial" w:cs="Arial"/>
          <w:lang w:val="en-US"/>
        </w:rPr>
        <w:t xml:space="preserve">. </w:t>
      </w:r>
      <w:r w:rsidRPr="00205686">
        <w:rPr>
          <w:rFonts w:ascii="Arial" w:hAnsi="Arial" w:cs="Arial"/>
        </w:rPr>
        <w:t>Verso.</w:t>
      </w:r>
    </w:p>
    <w:p w14:paraId="5ECD2885" w14:textId="77777777" w:rsidR="00D444BE" w:rsidRPr="00205686" w:rsidRDefault="00D444BE" w:rsidP="00D444BE">
      <w:pPr>
        <w:rPr>
          <w:rFonts w:ascii="Arial" w:hAnsi="Arial" w:cs="Arial"/>
        </w:rPr>
      </w:pPr>
      <w:r w:rsidRPr="00205686">
        <w:rPr>
          <w:rFonts w:ascii="Arial" w:hAnsi="Arial" w:cs="Arial"/>
          <w:lang w:val="en-US"/>
        </w:rPr>
        <w:t xml:space="preserve">Cohen, B. J. (2015). </w:t>
      </w:r>
      <w:r w:rsidRPr="00205686">
        <w:rPr>
          <w:rFonts w:ascii="Arial" w:hAnsi="Arial" w:cs="Arial"/>
          <w:i/>
          <w:iCs/>
          <w:lang w:val="en-US"/>
        </w:rPr>
        <w:t>Currency power: Understanding monetary rivalry</w:t>
      </w:r>
      <w:r w:rsidRPr="00205686">
        <w:rPr>
          <w:rFonts w:ascii="Arial" w:hAnsi="Arial" w:cs="Arial"/>
          <w:lang w:val="en-US"/>
        </w:rPr>
        <w:t xml:space="preserve">. </w:t>
      </w:r>
      <w:r w:rsidRPr="00205686">
        <w:rPr>
          <w:rFonts w:ascii="Arial" w:hAnsi="Arial" w:cs="Arial"/>
        </w:rPr>
        <w:t xml:space="preserve">Princeton </w:t>
      </w:r>
      <w:proofErr w:type="spellStart"/>
      <w:r w:rsidRPr="00205686">
        <w:rPr>
          <w:rFonts w:ascii="Arial" w:hAnsi="Arial" w:cs="Arial"/>
        </w:rPr>
        <w:t>University</w:t>
      </w:r>
      <w:proofErr w:type="spellEnd"/>
      <w:r w:rsidRPr="00205686">
        <w:rPr>
          <w:rFonts w:ascii="Arial" w:hAnsi="Arial" w:cs="Arial"/>
        </w:rPr>
        <w:t xml:space="preserve"> Press.</w:t>
      </w:r>
    </w:p>
    <w:p w14:paraId="7F984EF4" w14:textId="77777777" w:rsidR="00D444BE" w:rsidRPr="00205686" w:rsidRDefault="00D444BE" w:rsidP="00D444BE">
      <w:pPr>
        <w:rPr>
          <w:rFonts w:ascii="Arial" w:hAnsi="Arial" w:cs="Arial"/>
        </w:rPr>
      </w:pPr>
      <w:r w:rsidRPr="00205686">
        <w:rPr>
          <w:rFonts w:ascii="Arial" w:hAnsi="Arial" w:cs="Arial"/>
          <w:lang w:val="en-US"/>
        </w:rPr>
        <w:t xml:space="preserve">Eichengreen, B. (2011). </w:t>
      </w:r>
      <w:r w:rsidRPr="00205686">
        <w:rPr>
          <w:rFonts w:ascii="Arial" w:hAnsi="Arial" w:cs="Arial"/>
          <w:i/>
          <w:iCs/>
          <w:lang w:val="en-US"/>
        </w:rPr>
        <w:t>Exorbitant privilege: The rise and fall of the dollar and the future of the international monetary system</w:t>
      </w:r>
      <w:r w:rsidRPr="00205686">
        <w:rPr>
          <w:rFonts w:ascii="Arial" w:hAnsi="Arial" w:cs="Arial"/>
          <w:lang w:val="en-US"/>
        </w:rPr>
        <w:t xml:space="preserve">. </w:t>
      </w:r>
      <w:r w:rsidRPr="00205686">
        <w:rPr>
          <w:rFonts w:ascii="Arial" w:hAnsi="Arial" w:cs="Arial"/>
        </w:rPr>
        <w:t xml:space="preserve">Oxford </w:t>
      </w:r>
      <w:proofErr w:type="spellStart"/>
      <w:r w:rsidRPr="00205686">
        <w:rPr>
          <w:rFonts w:ascii="Arial" w:hAnsi="Arial" w:cs="Arial"/>
        </w:rPr>
        <w:t>University</w:t>
      </w:r>
      <w:proofErr w:type="spellEnd"/>
      <w:r w:rsidRPr="00205686">
        <w:rPr>
          <w:rFonts w:ascii="Arial" w:hAnsi="Arial" w:cs="Arial"/>
        </w:rPr>
        <w:t xml:space="preserve"> Press.</w:t>
      </w:r>
    </w:p>
    <w:p w14:paraId="1119E247" w14:textId="77777777" w:rsidR="00D444BE" w:rsidRPr="00205686" w:rsidRDefault="00D444BE" w:rsidP="00D444BE">
      <w:pPr>
        <w:rPr>
          <w:rFonts w:ascii="Arial" w:hAnsi="Arial" w:cs="Arial"/>
        </w:rPr>
      </w:pPr>
      <w:r w:rsidRPr="00205686">
        <w:rPr>
          <w:rFonts w:ascii="Arial" w:hAnsi="Arial" w:cs="Arial"/>
          <w:lang w:val="en-US"/>
        </w:rPr>
        <w:t xml:space="preserve">Ikenberry, G. J. (2018). The end of liberal international order? </w:t>
      </w:r>
      <w:r w:rsidRPr="00205686">
        <w:rPr>
          <w:rFonts w:ascii="Arial" w:hAnsi="Arial" w:cs="Arial"/>
          <w:i/>
          <w:iCs/>
        </w:rPr>
        <w:t xml:space="preserve">International </w:t>
      </w:r>
      <w:proofErr w:type="spellStart"/>
      <w:r w:rsidRPr="00205686">
        <w:rPr>
          <w:rFonts w:ascii="Arial" w:hAnsi="Arial" w:cs="Arial"/>
          <w:i/>
          <w:iCs/>
        </w:rPr>
        <w:t>Affairs</w:t>
      </w:r>
      <w:proofErr w:type="spellEnd"/>
      <w:r w:rsidRPr="00205686">
        <w:rPr>
          <w:rFonts w:ascii="Arial" w:hAnsi="Arial" w:cs="Arial"/>
        </w:rPr>
        <w:t xml:space="preserve">, 94(1), 7-23. </w:t>
      </w:r>
      <w:hyperlink r:id="rId6" w:tgtFrame="_blank" w:history="1">
        <w:r w:rsidRPr="00205686">
          <w:rPr>
            <w:rStyle w:val="Hipervnculo"/>
            <w:rFonts w:ascii="Arial" w:hAnsi="Arial" w:cs="Arial"/>
            <w:color w:val="auto"/>
          </w:rPr>
          <w:t>https://doi.org/10.1093/ia/iix241</w:t>
        </w:r>
      </w:hyperlink>
    </w:p>
    <w:p w14:paraId="290A662E" w14:textId="77777777" w:rsidR="00D444BE" w:rsidRPr="00205686" w:rsidRDefault="00D444BE" w:rsidP="00D444BE">
      <w:pPr>
        <w:rPr>
          <w:rFonts w:ascii="Arial" w:hAnsi="Arial" w:cs="Arial"/>
        </w:rPr>
      </w:pPr>
      <w:r w:rsidRPr="00205686">
        <w:rPr>
          <w:rFonts w:ascii="Arial" w:hAnsi="Arial" w:cs="Arial"/>
          <w:lang w:val="en-US"/>
        </w:rPr>
        <w:t xml:space="preserve">Prasad, E. S. (2017). </w:t>
      </w:r>
      <w:r w:rsidRPr="00205686">
        <w:rPr>
          <w:rFonts w:ascii="Arial" w:hAnsi="Arial" w:cs="Arial"/>
          <w:i/>
          <w:iCs/>
          <w:lang w:val="en-US"/>
        </w:rPr>
        <w:t>Gaining currency: The rise of the renminbi</w:t>
      </w:r>
      <w:r w:rsidRPr="00205686">
        <w:rPr>
          <w:rFonts w:ascii="Arial" w:hAnsi="Arial" w:cs="Arial"/>
          <w:lang w:val="en-US"/>
        </w:rPr>
        <w:t xml:space="preserve">. </w:t>
      </w:r>
      <w:r w:rsidRPr="00205686">
        <w:rPr>
          <w:rFonts w:ascii="Arial" w:hAnsi="Arial" w:cs="Arial"/>
        </w:rPr>
        <w:t xml:space="preserve">Harvard </w:t>
      </w:r>
      <w:proofErr w:type="spellStart"/>
      <w:r w:rsidRPr="00205686">
        <w:rPr>
          <w:rFonts w:ascii="Arial" w:hAnsi="Arial" w:cs="Arial"/>
        </w:rPr>
        <w:t>University</w:t>
      </w:r>
      <w:proofErr w:type="spellEnd"/>
      <w:r w:rsidRPr="00205686">
        <w:rPr>
          <w:rFonts w:ascii="Arial" w:hAnsi="Arial" w:cs="Arial"/>
        </w:rPr>
        <w:t xml:space="preserve"> Press.</w:t>
      </w:r>
    </w:p>
    <w:p w14:paraId="0EFEC8E2" w14:textId="77777777" w:rsidR="00D444BE" w:rsidRPr="00205686" w:rsidRDefault="00D444BE" w:rsidP="00D444BE">
      <w:pPr>
        <w:rPr>
          <w:rFonts w:ascii="Arial" w:hAnsi="Arial" w:cs="Arial"/>
          <w:lang w:val="en-US"/>
        </w:rPr>
      </w:pPr>
      <w:r w:rsidRPr="00205686">
        <w:rPr>
          <w:rFonts w:ascii="Arial" w:hAnsi="Arial" w:cs="Arial"/>
          <w:lang w:val="en-US"/>
        </w:rPr>
        <w:t xml:space="preserve">Strange, s. (1988). </w:t>
      </w:r>
      <w:r w:rsidRPr="00205686">
        <w:rPr>
          <w:rFonts w:ascii="Arial" w:hAnsi="Arial" w:cs="Arial"/>
          <w:i/>
          <w:iCs/>
          <w:lang w:val="en-US"/>
        </w:rPr>
        <w:t>States and markets: Introduction to international political economy</w:t>
      </w:r>
      <w:r w:rsidRPr="00205686">
        <w:rPr>
          <w:rFonts w:ascii="Arial" w:hAnsi="Arial" w:cs="Arial"/>
          <w:lang w:val="en-US"/>
        </w:rPr>
        <w:t xml:space="preserve">. </w:t>
      </w:r>
      <w:r w:rsidRPr="00205686">
        <w:rPr>
          <w:rFonts w:ascii="Arial" w:hAnsi="Arial" w:cs="Arial"/>
        </w:rPr>
        <w:t xml:space="preserve">Pinter </w:t>
      </w:r>
      <w:proofErr w:type="spellStart"/>
      <w:r w:rsidRPr="00205686">
        <w:rPr>
          <w:rFonts w:ascii="Arial" w:hAnsi="Arial" w:cs="Arial"/>
        </w:rPr>
        <w:t>Publishers</w:t>
      </w:r>
      <w:proofErr w:type="spellEnd"/>
      <w:r w:rsidRPr="00205686">
        <w:rPr>
          <w:rFonts w:ascii="Arial" w:hAnsi="Arial" w:cs="Arial"/>
        </w:rPr>
        <w:t>.</w:t>
      </w:r>
    </w:p>
    <w:p w14:paraId="024ABC5E" w14:textId="77777777" w:rsidR="000E6077" w:rsidRDefault="000E6077"/>
    <w:sectPr w:rsidR="000E6077" w:rsidSect="00D444BE">
      <w:footerReference w:type="default" r:id="rId7"/>
      <w:pgSz w:w="11906" w:h="16838" w:code="9"/>
      <w:pgMar w:top="851" w:right="1701" w:bottom="1134" w:left="567" w:header="709" w:footer="709"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CF0FE" w14:textId="77777777" w:rsidR="00D444BE" w:rsidRDefault="00D444BE">
    <w:pPr>
      <w:pStyle w:val="Piedepgina"/>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44BE"/>
    <w:rsid w:val="00084346"/>
    <w:rsid w:val="000E6077"/>
    <w:rsid w:val="002A35A5"/>
    <w:rsid w:val="00631D7C"/>
    <w:rsid w:val="00C332D6"/>
    <w:rsid w:val="00D444BE"/>
    <w:rsid w:val="00E83508"/>
  </w:rsids>
  <m:mathPr>
    <m:mathFont m:val="Cambria Math"/>
    <m:brkBin m:val="before"/>
    <m:brkBinSub m:val="--"/>
    <m:smallFrac m:val="0"/>
    <m:dispDef/>
    <m:lMargin m:val="0"/>
    <m:rMargin m:val="0"/>
    <m:defJc m:val="centerGroup"/>
    <m:wrapIndent m:val="1440"/>
    <m:intLim m:val="subSup"/>
    <m:naryLim m:val="undOvr"/>
  </m:mathPr>
  <w:themeFontLang w:val="es-B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E0D75"/>
  <w15:chartTrackingRefBased/>
  <w15:docId w15:val="{DF9CEB02-5591-4EC2-ACA8-9F373A14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B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44BE"/>
    <w:pPr>
      <w:spacing w:line="259" w:lineRule="auto"/>
    </w:pPr>
    <w:rPr>
      <w:kern w:val="0"/>
      <w:sz w:val="22"/>
      <w:szCs w:val="22"/>
      <w14:ligatures w14:val="none"/>
    </w:rPr>
  </w:style>
  <w:style w:type="paragraph" w:styleId="Ttulo1">
    <w:name w:val="heading 1"/>
    <w:basedOn w:val="Normal"/>
    <w:next w:val="Normal"/>
    <w:link w:val="Ttulo1Car"/>
    <w:uiPriority w:val="9"/>
    <w:qFormat/>
    <w:rsid w:val="00D444BE"/>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tulo2">
    <w:name w:val="heading 2"/>
    <w:basedOn w:val="Normal"/>
    <w:next w:val="Normal"/>
    <w:link w:val="Ttulo2Car"/>
    <w:uiPriority w:val="9"/>
    <w:semiHidden/>
    <w:unhideWhenUsed/>
    <w:qFormat/>
    <w:rsid w:val="00D444BE"/>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tulo3">
    <w:name w:val="heading 3"/>
    <w:basedOn w:val="Normal"/>
    <w:next w:val="Normal"/>
    <w:link w:val="Ttulo3Car"/>
    <w:uiPriority w:val="9"/>
    <w:semiHidden/>
    <w:unhideWhenUsed/>
    <w:qFormat/>
    <w:rsid w:val="00D444BE"/>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tulo4">
    <w:name w:val="heading 4"/>
    <w:basedOn w:val="Normal"/>
    <w:next w:val="Normal"/>
    <w:link w:val="Ttulo4Car"/>
    <w:uiPriority w:val="9"/>
    <w:semiHidden/>
    <w:unhideWhenUsed/>
    <w:qFormat/>
    <w:rsid w:val="00D444BE"/>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tulo5">
    <w:name w:val="heading 5"/>
    <w:basedOn w:val="Normal"/>
    <w:next w:val="Normal"/>
    <w:link w:val="Ttulo5Car"/>
    <w:uiPriority w:val="9"/>
    <w:semiHidden/>
    <w:unhideWhenUsed/>
    <w:qFormat/>
    <w:rsid w:val="00D444BE"/>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tulo6">
    <w:name w:val="heading 6"/>
    <w:basedOn w:val="Normal"/>
    <w:next w:val="Normal"/>
    <w:link w:val="Ttulo6Car"/>
    <w:uiPriority w:val="9"/>
    <w:semiHidden/>
    <w:unhideWhenUsed/>
    <w:qFormat/>
    <w:rsid w:val="00D444BE"/>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tulo7">
    <w:name w:val="heading 7"/>
    <w:basedOn w:val="Normal"/>
    <w:next w:val="Normal"/>
    <w:link w:val="Ttulo7Car"/>
    <w:uiPriority w:val="9"/>
    <w:semiHidden/>
    <w:unhideWhenUsed/>
    <w:qFormat/>
    <w:rsid w:val="00D444BE"/>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tulo8">
    <w:name w:val="heading 8"/>
    <w:basedOn w:val="Normal"/>
    <w:next w:val="Normal"/>
    <w:link w:val="Ttulo8Car"/>
    <w:uiPriority w:val="9"/>
    <w:semiHidden/>
    <w:unhideWhenUsed/>
    <w:qFormat/>
    <w:rsid w:val="00D444BE"/>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tulo9">
    <w:name w:val="heading 9"/>
    <w:basedOn w:val="Normal"/>
    <w:next w:val="Normal"/>
    <w:link w:val="Ttulo9Car"/>
    <w:uiPriority w:val="9"/>
    <w:semiHidden/>
    <w:unhideWhenUsed/>
    <w:qFormat/>
    <w:rsid w:val="00D444BE"/>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444B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444B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444B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444B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444B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444B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444B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444B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444BE"/>
    <w:rPr>
      <w:rFonts w:eastAsiaTheme="majorEastAsia" w:cstheme="majorBidi"/>
      <w:color w:val="272727" w:themeColor="text1" w:themeTint="D8"/>
    </w:rPr>
  </w:style>
  <w:style w:type="paragraph" w:styleId="Ttulo">
    <w:name w:val="Title"/>
    <w:basedOn w:val="Normal"/>
    <w:next w:val="Normal"/>
    <w:link w:val="TtuloCar"/>
    <w:uiPriority w:val="10"/>
    <w:qFormat/>
    <w:rsid w:val="00D444BE"/>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tuloCar">
    <w:name w:val="Título Car"/>
    <w:basedOn w:val="Fuentedeprrafopredeter"/>
    <w:link w:val="Ttulo"/>
    <w:uiPriority w:val="10"/>
    <w:rsid w:val="00D444B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444BE"/>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tuloCar">
    <w:name w:val="Subtítulo Car"/>
    <w:basedOn w:val="Fuentedeprrafopredeter"/>
    <w:link w:val="Subttulo"/>
    <w:uiPriority w:val="11"/>
    <w:rsid w:val="00D444B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444BE"/>
    <w:pPr>
      <w:spacing w:before="160" w:line="278" w:lineRule="auto"/>
      <w:jc w:val="center"/>
    </w:pPr>
    <w:rPr>
      <w:i/>
      <w:iCs/>
      <w:color w:val="404040" w:themeColor="text1" w:themeTint="BF"/>
      <w:kern w:val="2"/>
      <w:sz w:val="24"/>
      <w:szCs w:val="24"/>
      <w14:ligatures w14:val="standardContextual"/>
    </w:rPr>
  </w:style>
  <w:style w:type="character" w:customStyle="1" w:styleId="CitaCar">
    <w:name w:val="Cita Car"/>
    <w:basedOn w:val="Fuentedeprrafopredeter"/>
    <w:link w:val="Cita"/>
    <w:uiPriority w:val="29"/>
    <w:rsid w:val="00D444BE"/>
    <w:rPr>
      <w:i/>
      <w:iCs/>
      <w:color w:val="404040" w:themeColor="text1" w:themeTint="BF"/>
    </w:rPr>
  </w:style>
  <w:style w:type="paragraph" w:styleId="Prrafodelista">
    <w:name w:val="List Paragraph"/>
    <w:basedOn w:val="Normal"/>
    <w:uiPriority w:val="34"/>
    <w:qFormat/>
    <w:rsid w:val="00D444BE"/>
    <w:pPr>
      <w:spacing w:line="278" w:lineRule="auto"/>
      <w:ind w:left="720"/>
      <w:contextualSpacing/>
    </w:pPr>
    <w:rPr>
      <w:kern w:val="2"/>
      <w:sz w:val="24"/>
      <w:szCs w:val="24"/>
      <w14:ligatures w14:val="standardContextual"/>
    </w:rPr>
  </w:style>
  <w:style w:type="character" w:styleId="nfasisintenso">
    <w:name w:val="Intense Emphasis"/>
    <w:basedOn w:val="Fuentedeprrafopredeter"/>
    <w:uiPriority w:val="21"/>
    <w:qFormat/>
    <w:rsid w:val="00D444BE"/>
    <w:rPr>
      <w:i/>
      <w:iCs/>
      <w:color w:val="0F4761" w:themeColor="accent1" w:themeShade="BF"/>
    </w:rPr>
  </w:style>
  <w:style w:type="paragraph" w:styleId="Citadestacada">
    <w:name w:val="Intense Quote"/>
    <w:basedOn w:val="Normal"/>
    <w:next w:val="Normal"/>
    <w:link w:val="CitadestacadaCar"/>
    <w:uiPriority w:val="30"/>
    <w:qFormat/>
    <w:rsid w:val="00D444BE"/>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destacadaCar">
    <w:name w:val="Cita destacada Car"/>
    <w:basedOn w:val="Fuentedeprrafopredeter"/>
    <w:link w:val="Citadestacada"/>
    <w:uiPriority w:val="30"/>
    <w:rsid w:val="00D444BE"/>
    <w:rPr>
      <w:i/>
      <w:iCs/>
      <w:color w:val="0F4761" w:themeColor="accent1" w:themeShade="BF"/>
    </w:rPr>
  </w:style>
  <w:style w:type="character" w:styleId="Referenciaintensa">
    <w:name w:val="Intense Reference"/>
    <w:basedOn w:val="Fuentedeprrafopredeter"/>
    <w:uiPriority w:val="32"/>
    <w:qFormat/>
    <w:rsid w:val="00D444BE"/>
    <w:rPr>
      <w:b/>
      <w:bCs/>
      <w:smallCaps/>
      <w:color w:val="0F4761" w:themeColor="accent1" w:themeShade="BF"/>
      <w:spacing w:val="5"/>
    </w:rPr>
  </w:style>
  <w:style w:type="character" w:styleId="Hipervnculo">
    <w:name w:val="Hyperlink"/>
    <w:basedOn w:val="Fuentedeprrafopredeter"/>
    <w:uiPriority w:val="99"/>
    <w:unhideWhenUsed/>
    <w:rsid w:val="00D444BE"/>
    <w:rPr>
      <w:color w:val="0000FF"/>
      <w:u w:val="single"/>
    </w:rPr>
  </w:style>
  <w:style w:type="paragraph" w:styleId="Piedepgina">
    <w:name w:val="footer"/>
    <w:basedOn w:val="Normal"/>
    <w:link w:val="PiedepginaCar"/>
    <w:uiPriority w:val="99"/>
    <w:unhideWhenUsed/>
    <w:rsid w:val="00D444B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444BE"/>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093/ia/iix241?utm_source=gemini" TargetMode="External"/><Relationship Id="rId5" Type="http://schemas.openxmlformats.org/officeDocument/2006/relationships/image" Target="media/image2.png"/><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8239</Words>
  <Characters>45318</Characters>
  <Application>Microsoft Office Word</Application>
  <DocSecurity>0</DocSecurity>
  <Lines>377</Lines>
  <Paragraphs>106</Paragraphs>
  <ScaleCrop>false</ScaleCrop>
  <Company/>
  <LinksUpToDate>false</LinksUpToDate>
  <CharactersWithSpaces>53451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sduran</dc:creator>
  <cp:keywords/>
  <dc:description/>
  <cp:lastModifiedBy>sduran</cp:lastModifiedBy>
  <cp:revision>1</cp:revision>
  <dcterms:created xsi:type="dcterms:W3CDTF">2026-10-03T05:27:00Z</dcterms:created>
  <dcterms:modified xsi:type="dcterms:W3CDTF">2026-10-03T05:28:00Z</dcterms:modified>
</cp:coreProperties>
</file>